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FDFC" w14:textId="759E47D6" w:rsidR="00593BC6" w:rsidRDefault="00593BC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14:paraId="5436CA10" w14:textId="5E767C34" w:rsidR="0032155A" w:rsidRDefault="0032155A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Technical series on synthetic biology</w:t>
      </w:r>
    </w:p>
    <w:p w14:paraId="26EA7AB3" w14:textId="77777777" w:rsidR="00D97576" w:rsidRPr="00C658CD" w:rsidRDefault="00D9757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25"/>
        <w:gridCol w:w="107"/>
        <w:gridCol w:w="8038"/>
      </w:tblGrid>
      <w:tr w:rsidR="00593BC6" w:rsidRPr="00C658CD" w14:paraId="7DBA9CF5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0C71E9D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923A0A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36D753E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399E205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7B244D40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8038" w:type="dxa"/>
          </w:tcPr>
          <w:p w14:paraId="3AB47FF8" w14:textId="5031F8FD" w:rsidR="00593BC6" w:rsidRPr="00C658CD" w:rsidRDefault="00B039CC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Whitham</w:t>
            </w:r>
          </w:p>
        </w:tc>
      </w:tr>
      <w:tr w:rsidR="00593BC6" w:rsidRPr="00C658CD" w14:paraId="2D70246E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24B7BE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4DC2B26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960F46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42324F5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8038" w:type="dxa"/>
          </w:tcPr>
          <w:p w14:paraId="1F1AFCCD" w14:textId="3C5C0884" w:rsidR="00593BC6" w:rsidRPr="00C658CD" w:rsidRDefault="00B039CC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</w:t>
            </w:r>
          </w:p>
        </w:tc>
      </w:tr>
      <w:tr w:rsidR="00593BC6" w:rsidRPr="00C658CD" w14:paraId="4D0E31D1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478DDD0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86530CF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FF1A2A" w14:paraId="1C3067B8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3499F6BE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038" w:type="dxa"/>
          </w:tcPr>
          <w:p w14:paraId="119BAC5F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590623FC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807C1F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(if applicable):</w:t>
            </w:r>
          </w:p>
        </w:tc>
        <w:tc>
          <w:tcPr>
            <w:tcW w:w="8038" w:type="dxa"/>
          </w:tcPr>
          <w:p w14:paraId="2CA88BC1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131D5B2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5B9F4F3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09AED490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C8FC01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683E9B8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038" w:type="dxa"/>
          </w:tcPr>
          <w:p w14:paraId="44E1FC10" w14:textId="53E773C4" w:rsidR="00593BC6" w:rsidRPr="00C658CD" w:rsidRDefault="00B039CC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 State University</w:t>
            </w:r>
          </w:p>
        </w:tc>
      </w:tr>
      <w:tr w:rsidR="00593BC6" w:rsidRPr="00C658CD" w14:paraId="3ED36EA3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21C9EB42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5A530AD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29D03C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5048343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038" w:type="dxa"/>
          </w:tcPr>
          <w:p w14:paraId="7D07E304" w14:textId="4493D75C" w:rsidR="00593BC6" w:rsidRPr="00C658CD" w:rsidRDefault="00B039CC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swhitham@iastate.edu</w:t>
            </w:r>
          </w:p>
        </w:tc>
      </w:tr>
      <w:tr w:rsidR="00593BC6" w:rsidRPr="00C658CD" w14:paraId="59BA55E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4CA6650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67E637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33DFC97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21278E8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5933792" w14:textId="14B8E253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Comments on th</w:t>
            </w:r>
            <w:r w:rsidR="00363EF2">
              <w:rPr>
                <w:b/>
                <w:sz w:val="22"/>
                <w:szCs w:val="22"/>
              </w:rPr>
              <w:t>e Technical Series on Synthetic Biology</w:t>
            </w:r>
          </w:p>
          <w:p w14:paraId="7BC798CD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2A5F8AC1" w14:textId="77777777" w:rsidTr="00135D96">
        <w:trPr>
          <w:cantSplit/>
          <w:trHeight w:val="233"/>
        </w:trPr>
        <w:tc>
          <w:tcPr>
            <w:tcW w:w="918" w:type="dxa"/>
          </w:tcPr>
          <w:p w14:paraId="6C0FFA1B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 w:rsidR="00F94D0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25" w:type="dxa"/>
          </w:tcPr>
          <w:p w14:paraId="3BFAC210" w14:textId="77777777" w:rsidR="00593BC6" w:rsidRPr="00C658CD" w:rsidRDefault="005411E6" w:rsidP="00135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</w:t>
            </w:r>
            <w:r w:rsidR="00135D96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8145" w:type="dxa"/>
            <w:gridSpan w:val="2"/>
          </w:tcPr>
          <w:p w14:paraId="1DF3BB2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593BC6" w:rsidRPr="00C658CD" w14:paraId="52D4B2D0" w14:textId="77777777" w:rsidTr="00135D96">
        <w:trPr>
          <w:cantSplit/>
          <w:trHeight w:val="233"/>
        </w:trPr>
        <w:tc>
          <w:tcPr>
            <w:tcW w:w="918" w:type="dxa"/>
          </w:tcPr>
          <w:p w14:paraId="2E5AE1CF" w14:textId="13CACBD2" w:rsidR="00593BC6" w:rsidRPr="00C658CD" w:rsidRDefault="00B039CC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</w:tcPr>
          <w:p w14:paraId="6F9597EA" w14:textId="65BBB1DF" w:rsidR="00593BC6" w:rsidRPr="00C658CD" w:rsidRDefault="00B039CC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145" w:type="dxa"/>
            <w:gridSpan w:val="2"/>
          </w:tcPr>
          <w:p w14:paraId="58F1E46B" w14:textId="67ED9560" w:rsidR="00593BC6" w:rsidRPr="00C658CD" w:rsidRDefault="00B039CC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first Insect Allies publication was not the Ellison et al. 2020 paper. It was</w:t>
            </w:r>
            <w:r w:rsidR="00B02B38">
              <w:rPr>
                <w:sz w:val="22"/>
                <w:szCs w:val="22"/>
              </w:rPr>
              <w:t xml:space="preserve"> most likely</w:t>
            </w:r>
            <w:r>
              <w:rPr>
                <w:sz w:val="22"/>
                <w:szCs w:val="22"/>
              </w:rPr>
              <w:t xml:space="preserve"> </w:t>
            </w:r>
            <w:r w:rsidR="008502C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Mei et al. 2019. </w:t>
            </w:r>
            <w:r w:rsidR="008502C7">
              <w:t xml:space="preserve"> </w:t>
            </w:r>
            <w:r w:rsidR="008502C7" w:rsidRPr="008502C7">
              <w:rPr>
                <w:sz w:val="22"/>
                <w:szCs w:val="22"/>
              </w:rPr>
              <w:t xml:space="preserve">Mei, Y., </w:t>
            </w:r>
            <w:proofErr w:type="spellStart"/>
            <w:r w:rsidR="008502C7" w:rsidRPr="008502C7">
              <w:rPr>
                <w:sz w:val="22"/>
                <w:szCs w:val="22"/>
              </w:rPr>
              <w:t>Beernink</w:t>
            </w:r>
            <w:proofErr w:type="spellEnd"/>
            <w:r w:rsidR="008502C7" w:rsidRPr="008502C7">
              <w:rPr>
                <w:sz w:val="22"/>
                <w:szCs w:val="22"/>
              </w:rPr>
              <w:t xml:space="preserve">, B. M., Ellison, E. E., </w:t>
            </w:r>
            <w:proofErr w:type="spellStart"/>
            <w:r w:rsidR="008502C7" w:rsidRPr="008502C7">
              <w:rPr>
                <w:sz w:val="22"/>
                <w:szCs w:val="22"/>
              </w:rPr>
              <w:t>Konečná</w:t>
            </w:r>
            <w:proofErr w:type="spellEnd"/>
            <w:r w:rsidR="008502C7" w:rsidRPr="008502C7">
              <w:rPr>
                <w:sz w:val="22"/>
                <w:szCs w:val="22"/>
              </w:rPr>
              <w:t xml:space="preserve">, E., Neelakandan, A. K., Voytas, D. F., Whitham, S. A. (2019) Protein expression and gene editing in monocots using foxtail mosaic virus vectors. Plant Direct. </w:t>
            </w:r>
            <w:proofErr w:type="gramStart"/>
            <w:r w:rsidR="008502C7" w:rsidRPr="008502C7">
              <w:rPr>
                <w:sz w:val="22"/>
                <w:szCs w:val="22"/>
              </w:rPr>
              <w:t>3:e</w:t>
            </w:r>
            <w:proofErr w:type="gramEnd"/>
            <w:r w:rsidR="008502C7" w:rsidRPr="008502C7">
              <w:rPr>
                <w:sz w:val="22"/>
                <w:szCs w:val="22"/>
              </w:rPr>
              <w:t xml:space="preserve">00181. </w:t>
            </w:r>
            <w:proofErr w:type="spellStart"/>
            <w:r w:rsidR="008502C7" w:rsidRPr="008502C7">
              <w:rPr>
                <w:sz w:val="22"/>
                <w:szCs w:val="22"/>
              </w:rPr>
              <w:t>doi</w:t>
            </w:r>
            <w:proofErr w:type="spellEnd"/>
            <w:r w:rsidR="008502C7" w:rsidRPr="008502C7">
              <w:rPr>
                <w:sz w:val="22"/>
                <w:szCs w:val="22"/>
              </w:rPr>
              <w:t>: 10.1002/pld3.181</w:t>
            </w:r>
            <w:r w:rsidR="008502C7">
              <w:rPr>
                <w:sz w:val="22"/>
                <w:szCs w:val="22"/>
              </w:rPr>
              <w:t>”</w:t>
            </w:r>
            <w:r w:rsidR="009D078E">
              <w:rPr>
                <w:sz w:val="22"/>
                <w:szCs w:val="22"/>
              </w:rPr>
              <w:t>. Mei et al. 2019 investigates use of a virus for somatic protein expression and somatic gene editing</w:t>
            </w:r>
            <w:r w:rsidR="00B02B38">
              <w:rPr>
                <w:sz w:val="22"/>
                <w:szCs w:val="22"/>
              </w:rPr>
              <w:t xml:space="preserve"> in model plants and maize</w:t>
            </w:r>
            <w:r w:rsidR="009D078E">
              <w:rPr>
                <w:sz w:val="22"/>
                <w:szCs w:val="22"/>
              </w:rPr>
              <w:t>.</w:t>
            </w:r>
          </w:p>
        </w:tc>
      </w:tr>
      <w:tr w:rsidR="00593BC6" w:rsidRPr="00C658CD" w14:paraId="3E94F419" w14:textId="77777777" w:rsidTr="00135D96">
        <w:trPr>
          <w:cantSplit/>
          <w:trHeight w:val="233"/>
        </w:trPr>
        <w:tc>
          <w:tcPr>
            <w:tcW w:w="918" w:type="dxa"/>
          </w:tcPr>
          <w:p w14:paraId="44DCBC84" w14:textId="523FDDF5" w:rsidR="00593BC6" w:rsidRPr="00C658CD" w:rsidRDefault="008502C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</w:tcPr>
          <w:p w14:paraId="6338DD75" w14:textId="1A169247" w:rsidR="00593BC6" w:rsidRPr="00C658CD" w:rsidRDefault="008502C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19-32</w:t>
            </w:r>
          </w:p>
        </w:tc>
        <w:tc>
          <w:tcPr>
            <w:tcW w:w="8145" w:type="dxa"/>
            <w:gridSpan w:val="2"/>
          </w:tcPr>
          <w:p w14:paraId="1794B29D" w14:textId="0D185C6B" w:rsidR="00593BC6" w:rsidRPr="00C658CD" w:rsidRDefault="008502C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Tobacco rattle virus </w:t>
            </w:r>
            <w:r w:rsidR="0081092D">
              <w:rPr>
                <w:sz w:val="22"/>
                <w:szCs w:val="22"/>
              </w:rPr>
              <w:t xml:space="preserve">(TRV) </w:t>
            </w:r>
            <w:r>
              <w:rPr>
                <w:sz w:val="22"/>
                <w:szCs w:val="22"/>
              </w:rPr>
              <w:t>is not insect transmitted</w:t>
            </w:r>
            <w:r w:rsidR="0081092D">
              <w:rPr>
                <w:sz w:val="22"/>
                <w:szCs w:val="22"/>
              </w:rPr>
              <w:t xml:space="preserve"> (transmitted by nematodes)</w:t>
            </w:r>
            <w:r>
              <w:rPr>
                <w:sz w:val="22"/>
                <w:szCs w:val="22"/>
              </w:rPr>
              <w:t xml:space="preserve">. </w:t>
            </w:r>
            <w:r w:rsidR="0081092D">
              <w:rPr>
                <w:sz w:val="22"/>
                <w:szCs w:val="22"/>
              </w:rPr>
              <w:t xml:space="preserve">In the engineered TRV vector, the </w:t>
            </w:r>
            <w:r w:rsidR="009D078E">
              <w:rPr>
                <w:sz w:val="22"/>
                <w:szCs w:val="22"/>
              </w:rPr>
              <w:t>open reading frames</w:t>
            </w:r>
            <w:r w:rsidR="0081092D">
              <w:rPr>
                <w:sz w:val="22"/>
                <w:szCs w:val="22"/>
              </w:rPr>
              <w:t xml:space="preserve"> required for nematode transmission are deleted. </w:t>
            </w:r>
            <w:r>
              <w:rPr>
                <w:sz w:val="22"/>
                <w:szCs w:val="22"/>
              </w:rPr>
              <w:t>Potato virus X</w:t>
            </w:r>
            <w:r w:rsidR="00B02B38">
              <w:rPr>
                <w:sz w:val="22"/>
                <w:szCs w:val="22"/>
              </w:rPr>
              <w:t xml:space="preserve"> (PVX)</w:t>
            </w:r>
            <w:r>
              <w:rPr>
                <w:sz w:val="22"/>
                <w:szCs w:val="22"/>
              </w:rPr>
              <w:t xml:space="preserve"> is not </w:t>
            </w:r>
            <w:r w:rsidR="006C13BC">
              <w:rPr>
                <w:sz w:val="22"/>
                <w:szCs w:val="22"/>
              </w:rPr>
              <w:t xml:space="preserve">known to be </w:t>
            </w:r>
            <w:r>
              <w:rPr>
                <w:sz w:val="22"/>
                <w:szCs w:val="22"/>
              </w:rPr>
              <w:t>insect transmitted.</w:t>
            </w:r>
          </w:p>
        </w:tc>
      </w:tr>
      <w:tr w:rsidR="00593BC6" w:rsidRPr="00B30682" w14:paraId="1C656F45" w14:textId="77777777" w:rsidTr="00135D96">
        <w:trPr>
          <w:cantSplit/>
          <w:trHeight w:val="233"/>
        </w:trPr>
        <w:tc>
          <w:tcPr>
            <w:tcW w:w="918" w:type="dxa"/>
          </w:tcPr>
          <w:p w14:paraId="73652C5C" w14:textId="27211671" w:rsidR="00593BC6" w:rsidRPr="00C658CD" w:rsidRDefault="008502C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</w:tcPr>
          <w:p w14:paraId="0B63B7FE" w14:textId="012D3C84" w:rsidR="00593BC6" w:rsidRPr="00C658CD" w:rsidRDefault="008502C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25-32</w:t>
            </w:r>
          </w:p>
        </w:tc>
        <w:tc>
          <w:tcPr>
            <w:tcW w:w="8145" w:type="dxa"/>
            <w:gridSpan w:val="2"/>
          </w:tcPr>
          <w:p w14:paraId="0B96346A" w14:textId="7A9E29EB" w:rsidR="00593BC6" w:rsidRPr="00F86F63" w:rsidRDefault="008502C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Ariga</w:t>
            </w:r>
            <w:proofErr w:type="spellEnd"/>
            <w:r>
              <w:rPr>
                <w:sz w:val="22"/>
                <w:szCs w:val="22"/>
              </w:rPr>
              <w:t xml:space="preserve"> et al. 2020 and the Ma et al. 2020 studies both required regeneration of </w:t>
            </w:r>
            <w:r w:rsidR="0081092D">
              <w:rPr>
                <w:sz w:val="22"/>
                <w:szCs w:val="22"/>
              </w:rPr>
              <w:t xml:space="preserve">infected </w:t>
            </w:r>
            <w:r>
              <w:rPr>
                <w:sz w:val="22"/>
                <w:szCs w:val="22"/>
              </w:rPr>
              <w:t>plant</w:t>
            </w:r>
            <w:r w:rsidR="00A4500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through tissue culture</w:t>
            </w:r>
            <w:r w:rsidR="00A4500B">
              <w:rPr>
                <w:sz w:val="22"/>
                <w:szCs w:val="22"/>
              </w:rPr>
              <w:t xml:space="preserve"> in order to produce edits that were inherited.</w:t>
            </w:r>
            <w:r w:rsidR="00AB2478">
              <w:rPr>
                <w:sz w:val="22"/>
                <w:szCs w:val="22"/>
              </w:rPr>
              <w:t xml:space="preserve"> This is a very cumbersome </w:t>
            </w:r>
            <w:r w:rsidR="00725D0C">
              <w:rPr>
                <w:sz w:val="22"/>
                <w:szCs w:val="22"/>
              </w:rPr>
              <w:t xml:space="preserve">and technically demanding </w:t>
            </w:r>
            <w:r w:rsidR="00AB2478">
              <w:rPr>
                <w:sz w:val="22"/>
                <w:szCs w:val="22"/>
              </w:rPr>
              <w:t>process</w:t>
            </w:r>
            <w:r w:rsidR="00A90063">
              <w:rPr>
                <w:sz w:val="22"/>
                <w:szCs w:val="22"/>
              </w:rPr>
              <w:t>.</w:t>
            </w:r>
          </w:p>
        </w:tc>
      </w:tr>
      <w:tr w:rsidR="00593BC6" w:rsidRPr="00AD22DE" w14:paraId="4CEEBB68" w14:textId="77777777" w:rsidTr="00135D96">
        <w:trPr>
          <w:cantSplit/>
          <w:trHeight w:val="233"/>
        </w:trPr>
        <w:tc>
          <w:tcPr>
            <w:tcW w:w="918" w:type="dxa"/>
          </w:tcPr>
          <w:p w14:paraId="7A6A7CB6" w14:textId="75248164" w:rsidR="00593BC6" w:rsidRPr="00F86F63" w:rsidRDefault="00A4500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</w:tcPr>
          <w:p w14:paraId="623F395E" w14:textId="0ABA63A7" w:rsidR="00593BC6" w:rsidRPr="00F86F63" w:rsidRDefault="00A4500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25-32</w:t>
            </w:r>
          </w:p>
        </w:tc>
        <w:tc>
          <w:tcPr>
            <w:tcW w:w="8145" w:type="dxa"/>
            <w:gridSpan w:val="2"/>
          </w:tcPr>
          <w:p w14:paraId="2E88B0AD" w14:textId="66C722FF" w:rsidR="00593BC6" w:rsidRPr="00F86F63" w:rsidRDefault="00A4500B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more recent paper from a Spanish group uses PVX </w:t>
            </w:r>
            <w:r w:rsidR="006C13BC">
              <w:rPr>
                <w:sz w:val="22"/>
                <w:szCs w:val="22"/>
              </w:rPr>
              <w:t xml:space="preserve">as a vector to deliver guide RNAs and produce </w:t>
            </w:r>
            <w:r w:rsidR="006C13BC" w:rsidRPr="009627A1">
              <w:rPr>
                <w:i/>
                <w:sz w:val="22"/>
                <w:szCs w:val="22"/>
              </w:rPr>
              <w:t xml:space="preserve">Nicotiana </w:t>
            </w:r>
            <w:proofErr w:type="spellStart"/>
            <w:r w:rsidR="006C13BC" w:rsidRPr="009627A1">
              <w:rPr>
                <w:i/>
                <w:sz w:val="22"/>
                <w:szCs w:val="22"/>
              </w:rPr>
              <w:t>benthamiana</w:t>
            </w:r>
            <w:proofErr w:type="spellEnd"/>
            <w:r w:rsidR="006C13BC">
              <w:rPr>
                <w:sz w:val="22"/>
                <w:szCs w:val="22"/>
              </w:rPr>
              <w:t xml:space="preserve"> plants carrying heritable edits by two different methods. 1. They regenerate plant through tissue culture similar to </w:t>
            </w:r>
            <w:proofErr w:type="spellStart"/>
            <w:r w:rsidR="006C13BC">
              <w:rPr>
                <w:sz w:val="22"/>
                <w:szCs w:val="22"/>
              </w:rPr>
              <w:t>Ariga</w:t>
            </w:r>
            <w:proofErr w:type="spellEnd"/>
            <w:r w:rsidR="006C13BC">
              <w:rPr>
                <w:sz w:val="22"/>
                <w:szCs w:val="22"/>
              </w:rPr>
              <w:t xml:space="preserve"> et al. 2020 and Ma et al. 2020. 2. They directly induce heritable edits by delivering a single guide RNA fused to the FT sequence by a strategy </w:t>
            </w:r>
            <w:r w:rsidR="00B90F49">
              <w:rPr>
                <w:sz w:val="22"/>
                <w:szCs w:val="22"/>
              </w:rPr>
              <w:t>similar to</w:t>
            </w:r>
            <w:r w:rsidR="006C13BC">
              <w:rPr>
                <w:sz w:val="22"/>
                <w:szCs w:val="22"/>
              </w:rPr>
              <w:t xml:space="preserve"> Ellison et al. 2020. Both </w:t>
            </w:r>
            <w:r w:rsidR="00396A87">
              <w:rPr>
                <w:sz w:val="22"/>
                <w:szCs w:val="22"/>
              </w:rPr>
              <w:t>method</w:t>
            </w:r>
            <w:r w:rsidR="006C13BC">
              <w:rPr>
                <w:sz w:val="22"/>
                <w:szCs w:val="22"/>
              </w:rPr>
              <w:t>s s</w:t>
            </w:r>
            <w:r w:rsidR="00B02B38">
              <w:rPr>
                <w:sz w:val="22"/>
                <w:szCs w:val="22"/>
              </w:rPr>
              <w:t>t</w:t>
            </w:r>
            <w:r w:rsidR="006C13BC">
              <w:rPr>
                <w:sz w:val="22"/>
                <w:szCs w:val="22"/>
              </w:rPr>
              <w:t xml:space="preserve">ill require the use of Cas9 expressing transgenic </w:t>
            </w:r>
            <w:r w:rsidR="006C13BC" w:rsidRPr="009627A1">
              <w:rPr>
                <w:i/>
                <w:sz w:val="22"/>
                <w:szCs w:val="22"/>
              </w:rPr>
              <w:t xml:space="preserve">Nicotiana </w:t>
            </w:r>
            <w:proofErr w:type="spellStart"/>
            <w:r w:rsidR="006C13BC" w:rsidRPr="009627A1">
              <w:rPr>
                <w:i/>
                <w:sz w:val="22"/>
                <w:szCs w:val="22"/>
              </w:rPr>
              <w:t>benthamiana</w:t>
            </w:r>
            <w:proofErr w:type="spellEnd"/>
            <w:r w:rsidR="006C13BC">
              <w:rPr>
                <w:sz w:val="22"/>
                <w:szCs w:val="22"/>
              </w:rPr>
              <w:t xml:space="preserve"> lines in which to deliver the guide RNAs. The paper is: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4500B">
              <w:rPr>
                <w:sz w:val="22"/>
                <w:szCs w:val="22"/>
              </w:rPr>
              <w:t>Uranga</w:t>
            </w:r>
            <w:proofErr w:type="spellEnd"/>
            <w:r w:rsidRPr="00A4500B">
              <w:rPr>
                <w:sz w:val="22"/>
                <w:szCs w:val="22"/>
              </w:rPr>
              <w:t xml:space="preserve">, M., </w:t>
            </w:r>
            <w:proofErr w:type="spellStart"/>
            <w:r w:rsidRPr="00A4500B">
              <w:rPr>
                <w:sz w:val="22"/>
                <w:szCs w:val="22"/>
              </w:rPr>
              <w:t>Aragonés</w:t>
            </w:r>
            <w:proofErr w:type="spellEnd"/>
            <w:r w:rsidRPr="00A4500B">
              <w:rPr>
                <w:sz w:val="22"/>
                <w:szCs w:val="22"/>
              </w:rPr>
              <w:t>, V., Selma, S., Vázquez-</w:t>
            </w:r>
            <w:proofErr w:type="spellStart"/>
            <w:r w:rsidRPr="00A4500B">
              <w:rPr>
                <w:sz w:val="22"/>
                <w:szCs w:val="22"/>
              </w:rPr>
              <w:t>Vilar</w:t>
            </w:r>
            <w:proofErr w:type="spellEnd"/>
            <w:r w:rsidRPr="00A4500B">
              <w:rPr>
                <w:sz w:val="22"/>
                <w:szCs w:val="22"/>
              </w:rPr>
              <w:t xml:space="preserve">, M., </w:t>
            </w:r>
            <w:proofErr w:type="spellStart"/>
            <w:r w:rsidRPr="00A4500B">
              <w:rPr>
                <w:sz w:val="22"/>
                <w:szCs w:val="22"/>
              </w:rPr>
              <w:t>Orzáez</w:t>
            </w:r>
            <w:proofErr w:type="spellEnd"/>
            <w:r w:rsidRPr="00A4500B">
              <w:rPr>
                <w:sz w:val="22"/>
                <w:szCs w:val="22"/>
              </w:rPr>
              <w:t xml:space="preserve">, D. and </w:t>
            </w:r>
            <w:proofErr w:type="spellStart"/>
            <w:r w:rsidRPr="00A4500B">
              <w:rPr>
                <w:sz w:val="22"/>
                <w:szCs w:val="22"/>
              </w:rPr>
              <w:t>Daròs</w:t>
            </w:r>
            <w:proofErr w:type="spellEnd"/>
            <w:r w:rsidRPr="00A4500B">
              <w:rPr>
                <w:sz w:val="22"/>
                <w:szCs w:val="22"/>
              </w:rPr>
              <w:t xml:space="preserve">, J.-A. (2021), Efficient Cas9 multiplex editing using unspaced sgRNA arrays engineering in a Potato virus X vector. Plant J, 106: 555-565. </w:t>
            </w:r>
            <w:hyperlink r:id="rId6" w:history="1">
              <w:r w:rsidR="00AA59F5" w:rsidRPr="000E0FB8">
                <w:rPr>
                  <w:rStyle w:val="Hyperlink"/>
                  <w:sz w:val="22"/>
                  <w:szCs w:val="22"/>
                </w:rPr>
                <w:t>https://doi.org/10.1111/tpj.15164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593BC6" w:rsidRPr="00AD22DE" w14:paraId="4A4D44A2" w14:textId="77777777" w:rsidTr="00135D96">
        <w:trPr>
          <w:cantSplit/>
          <w:trHeight w:val="233"/>
        </w:trPr>
        <w:tc>
          <w:tcPr>
            <w:tcW w:w="918" w:type="dxa"/>
          </w:tcPr>
          <w:p w14:paraId="7D986775" w14:textId="4BD3A363" w:rsidR="00593BC6" w:rsidRPr="00F86F63" w:rsidRDefault="00165CAD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</w:tcPr>
          <w:p w14:paraId="5AC5FC2C" w14:textId="386605AC" w:rsidR="00593BC6" w:rsidRPr="00F86F63" w:rsidRDefault="002616F2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45" w:type="dxa"/>
            <w:gridSpan w:val="2"/>
          </w:tcPr>
          <w:p w14:paraId="786809CF" w14:textId="5492FF58" w:rsidR="00593BC6" w:rsidRPr="00F86F63" w:rsidRDefault="002616F2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Arabidopsis is misspelled</w:t>
            </w:r>
          </w:p>
        </w:tc>
      </w:tr>
      <w:tr w:rsidR="00593BC6" w:rsidRPr="00AD22DE" w14:paraId="12F556C9" w14:textId="77777777" w:rsidTr="00135D96">
        <w:trPr>
          <w:cantSplit/>
          <w:trHeight w:val="233"/>
        </w:trPr>
        <w:tc>
          <w:tcPr>
            <w:tcW w:w="918" w:type="dxa"/>
          </w:tcPr>
          <w:p w14:paraId="114ECD33" w14:textId="4E480A75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1722E8E8" w14:textId="5D1373A3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14DDBC8" w14:textId="5C0D83FC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786AB29D" w14:textId="77777777" w:rsidTr="00135D96">
        <w:trPr>
          <w:cantSplit/>
          <w:trHeight w:val="233"/>
        </w:trPr>
        <w:tc>
          <w:tcPr>
            <w:tcW w:w="918" w:type="dxa"/>
          </w:tcPr>
          <w:p w14:paraId="690F094D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0E4B63A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612F8E15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077ECF3C" w14:textId="77777777" w:rsidTr="00135D96">
        <w:trPr>
          <w:cantSplit/>
          <w:trHeight w:val="233"/>
        </w:trPr>
        <w:tc>
          <w:tcPr>
            <w:tcW w:w="918" w:type="dxa"/>
          </w:tcPr>
          <w:p w14:paraId="3053276C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11C33C7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1FB0F18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31B1A49C" w14:textId="77777777" w:rsidTr="00135D96">
        <w:trPr>
          <w:cantSplit/>
          <w:trHeight w:val="233"/>
        </w:trPr>
        <w:tc>
          <w:tcPr>
            <w:tcW w:w="918" w:type="dxa"/>
          </w:tcPr>
          <w:p w14:paraId="26E0E2AA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1C6455E2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503F912F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7DA9A366" w14:textId="77777777" w:rsidTr="00135D96">
        <w:trPr>
          <w:cantSplit/>
          <w:trHeight w:val="233"/>
        </w:trPr>
        <w:tc>
          <w:tcPr>
            <w:tcW w:w="918" w:type="dxa"/>
          </w:tcPr>
          <w:p w14:paraId="0704BF7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C318341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28544B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27D65F93" w14:textId="77777777" w:rsidTr="00135D96">
        <w:trPr>
          <w:cantSplit/>
          <w:trHeight w:val="233"/>
        </w:trPr>
        <w:tc>
          <w:tcPr>
            <w:tcW w:w="918" w:type="dxa"/>
          </w:tcPr>
          <w:p w14:paraId="6FEE838D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C39B009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C230DD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7F41CC7E" w14:textId="77777777" w:rsidTr="00135D96">
        <w:trPr>
          <w:cantSplit/>
          <w:trHeight w:val="233"/>
        </w:trPr>
        <w:tc>
          <w:tcPr>
            <w:tcW w:w="918" w:type="dxa"/>
          </w:tcPr>
          <w:p w14:paraId="661D50E8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DB5D191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13354FC4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AD22DE" w14:paraId="21C2AC39" w14:textId="77777777" w:rsidTr="00135D96">
        <w:trPr>
          <w:cantSplit/>
          <w:trHeight w:val="233"/>
        </w:trPr>
        <w:tc>
          <w:tcPr>
            <w:tcW w:w="918" w:type="dxa"/>
          </w:tcPr>
          <w:p w14:paraId="1A4F0A1E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543DC9D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7736A51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817A6D0" w14:textId="77777777" w:rsidTr="00135D96">
        <w:trPr>
          <w:cantSplit/>
          <w:trHeight w:val="233"/>
        </w:trPr>
        <w:tc>
          <w:tcPr>
            <w:tcW w:w="918" w:type="dxa"/>
          </w:tcPr>
          <w:p w14:paraId="4455D7DB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C46BB89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0953B7B" w14:textId="77777777" w:rsidR="00593BC6" w:rsidRPr="00C658CD" w:rsidRDefault="00593BC6" w:rsidP="00EA105F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E675E30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0E955578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11FCA427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2432318E" w14:textId="1E7BC26A" w:rsidR="004D6145" w:rsidRPr="00593BC6" w:rsidRDefault="00593BC6" w:rsidP="004B6042">
      <w:pPr>
        <w:pStyle w:val="Footer"/>
        <w:jc w:val="center"/>
        <w:rPr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bookmarkStart w:id="0" w:name="_GoBack"/>
      <w:r w:rsidR="005E2EEE">
        <w:fldChar w:fldCharType="begin"/>
      </w:r>
      <w:r w:rsidR="005E2EEE">
        <w:instrText xml:space="preserve"> HYPERLINK "mailto:secretariat@cbd.int" </w:instrText>
      </w:r>
      <w:r w:rsidR="005E2EEE">
        <w:fldChar w:fldCharType="separate"/>
      </w:r>
      <w:r w:rsidRPr="00C658CD">
        <w:rPr>
          <w:rStyle w:val="Hyperlink"/>
          <w:sz w:val="22"/>
          <w:szCs w:val="22"/>
          <w:lang w:val="en-CA"/>
        </w:rPr>
        <w:t>secretariat@cbd.int</w:t>
      </w:r>
      <w:r w:rsidR="005E2EEE">
        <w:rPr>
          <w:rStyle w:val="Hyperlink"/>
          <w:sz w:val="22"/>
          <w:szCs w:val="22"/>
          <w:lang w:val="en-CA"/>
        </w:rPr>
        <w:fldChar w:fldCharType="end"/>
      </w:r>
      <w:bookmarkEnd w:id="0"/>
      <w:r w:rsidRPr="00C658CD">
        <w:rPr>
          <w:sz w:val="22"/>
          <w:szCs w:val="22"/>
          <w:lang w:val="en-CA"/>
        </w:rPr>
        <w:t>.</w:t>
      </w:r>
    </w:p>
    <w:sectPr w:rsidR="004D6145" w:rsidRPr="00593BC6" w:rsidSect="00EA105F">
      <w:headerReference w:type="first" r:id="rId7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B2F7" w14:textId="77777777" w:rsidR="005E2EEE" w:rsidRDefault="005E2EEE" w:rsidP="00593BC6">
      <w:r>
        <w:separator/>
      </w:r>
    </w:p>
  </w:endnote>
  <w:endnote w:type="continuationSeparator" w:id="0">
    <w:p w14:paraId="243F85AD" w14:textId="77777777" w:rsidR="005E2EEE" w:rsidRDefault="005E2EEE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C678" w14:textId="77777777" w:rsidR="005E2EEE" w:rsidRDefault="005E2EEE" w:rsidP="00593BC6">
      <w:r>
        <w:separator/>
      </w:r>
    </w:p>
  </w:footnote>
  <w:footnote w:type="continuationSeparator" w:id="0">
    <w:p w14:paraId="7AB82ACF" w14:textId="77777777" w:rsidR="005E2EEE" w:rsidRDefault="005E2EEE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1991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C6"/>
    <w:rsid w:val="00054613"/>
    <w:rsid w:val="00091F4D"/>
    <w:rsid w:val="000A54FC"/>
    <w:rsid w:val="000E2E07"/>
    <w:rsid w:val="00135D96"/>
    <w:rsid w:val="00165CAD"/>
    <w:rsid w:val="001B4459"/>
    <w:rsid w:val="0024383F"/>
    <w:rsid w:val="002616F2"/>
    <w:rsid w:val="00293F84"/>
    <w:rsid w:val="0032155A"/>
    <w:rsid w:val="00363EF2"/>
    <w:rsid w:val="00365898"/>
    <w:rsid w:val="003925B2"/>
    <w:rsid w:val="00393449"/>
    <w:rsid w:val="00396A87"/>
    <w:rsid w:val="003C5737"/>
    <w:rsid w:val="00430349"/>
    <w:rsid w:val="004B6042"/>
    <w:rsid w:val="004D6145"/>
    <w:rsid w:val="004E426F"/>
    <w:rsid w:val="00524BE0"/>
    <w:rsid w:val="005411E6"/>
    <w:rsid w:val="00593BC6"/>
    <w:rsid w:val="00594E31"/>
    <w:rsid w:val="005C3B2B"/>
    <w:rsid w:val="005C4C24"/>
    <w:rsid w:val="005E2EEE"/>
    <w:rsid w:val="00652D1D"/>
    <w:rsid w:val="006C13BC"/>
    <w:rsid w:val="00725D0C"/>
    <w:rsid w:val="00735FF1"/>
    <w:rsid w:val="00780EC4"/>
    <w:rsid w:val="007D7135"/>
    <w:rsid w:val="0081092D"/>
    <w:rsid w:val="00824C7D"/>
    <w:rsid w:val="008502C7"/>
    <w:rsid w:val="00854B69"/>
    <w:rsid w:val="00872EB7"/>
    <w:rsid w:val="008C05B8"/>
    <w:rsid w:val="008E0A55"/>
    <w:rsid w:val="009627A1"/>
    <w:rsid w:val="00980D77"/>
    <w:rsid w:val="00991F51"/>
    <w:rsid w:val="009D078E"/>
    <w:rsid w:val="009F0836"/>
    <w:rsid w:val="00A05BE6"/>
    <w:rsid w:val="00A4500B"/>
    <w:rsid w:val="00A545C6"/>
    <w:rsid w:val="00A90063"/>
    <w:rsid w:val="00AA59F5"/>
    <w:rsid w:val="00AB2478"/>
    <w:rsid w:val="00AD22DE"/>
    <w:rsid w:val="00B02B38"/>
    <w:rsid w:val="00B039CC"/>
    <w:rsid w:val="00B30682"/>
    <w:rsid w:val="00B373CC"/>
    <w:rsid w:val="00B662B0"/>
    <w:rsid w:val="00B90F49"/>
    <w:rsid w:val="00BB14D8"/>
    <w:rsid w:val="00BD5D26"/>
    <w:rsid w:val="00C33566"/>
    <w:rsid w:val="00C43E77"/>
    <w:rsid w:val="00CD39FE"/>
    <w:rsid w:val="00D41238"/>
    <w:rsid w:val="00D60758"/>
    <w:rsid w:val="00D97576"/>
    <w:rsid w:val="00DD4F55"/>
    <w:rsid w:val="00E227B2"/>
    <w:rsid w:val="00EA105F"/>
    <w:rsid w:val="00F534C6"/>
    <w:rsid w:val="00F73C17"/>
    <w:rsid w:val="00F754C0"/>
    <w:rsid w:val="00F8658F"/>
    <w:rsid w:val="00F86F63"/>
    <w:rsid w:val="00F94D0C"/>
    <w:rsid w:val="00FB07C1"/>
    <w:rsid w:val="00FB1BA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5135"/>
  <w15:docId w15:val="{2EF4503E-AC8B-4C4E-A148-C22CF59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tpj.151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2448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Whitham, Steven A [PLP M]</cp:lastModifiedBy>
  <cp:revision>9</cp:revision>
  <dcterms:created xsi:type="dcterms:W3CDTF">2021-06-14T17:37:00Z</dcterms:created>
  <dcterms:modified xsi:type="dcterms:W3CDTF">2021-06-14T17:59:00Z</dcterms:modified>
</cp:coreProperties>
</file>