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6FDFC" w14:textId="759E47D6" w:rsidR="00593BC6" w:rsidRDefault="00593BC6" w:rsidP="00593BC6">
      <w:pPr>
        <w:pStyle w:val="Header"/>
        <w:jc w:val="center"/>
        <w:rPr>
          <w:rFonts w:ascii="Times New Roman Bold" w:hAnsi="Times New Roman Bold"/>
          <w:b/>
          <w:caps/>
          <w:sz w:val="22"/>
          <w:szCs w:val="22"/>
        </w:rPr>
      </w:pPr>
      <w:r w:rsidRPr="00C658CD">
        <w:rPr>
          <w:rFonts w:ascii="Times New Roman Bold" w:hAnsi="Times New Roman Bold"/>
          <w:b/>
          <w:caps/>
          <w:sz w:val="22"/>
          <w:szCs w:val="22"/>
        </w:rPr>
        <w:t xml:space="preserve">template for </w:t>
      </w:r>
      <w:r w:rsidR="00054613">
        <w:rPr>
          <w:rFonts w:ascii="Times New Roman Bold" w:hAnsi="Times New Roman Bold"/>
          <w:b/>
          <w:caps/>
          <w:sz w:val="22"/>
          <w:szCs w:val="22"/>
        </w:rPr>
        <w:t xml:space="preserve">Peer Review </w:t>
      </w:r>
      <w:r w:rsidRPr="00C658CD">
        <w:rPr>
          <w:rFonts w:ascii="Times New Roman Bold" w:hAnsi="Times New Roman Bold"/>
          <w:b/>
          <w:caps/>
          <w:sz w:val="22"/>
          <w:szCs w:val="22"/>
        </w:rPr>
        <w:t xml:space="preserve">comments </w:t>
      </w:r>
      <w:bookmarkStart w:id="0" w:name="_GoBack"/>
      <w:bookmarkEnd w:id="0"/>
    </w:p>
    <w:p w14:paraId="26EA7AB3" w14:textId="6494C82D" w:rsidR="00D97576" w:rsidRPr="00C658CD" w:rsidRDefault="0032155A" w:rsidP="0081465F">
      <w:pPr>
        <w:pStyle w:val="Header"/>
        <w:jc w:val="center"/>
        <w:rPr>
          <w:rFonts w:ascii="Times New Roman Bold" w:hAnsi="Times New Roman Bold"/>
          <w:b/>
          <w:caps/>
          <w:sz w:val="22"/>
          <w:szCs w:val="22"/>
        </w:rPr>
      </w:pPr>
      <w:r>
        <w:rPr>
          <w:rFonts w:ascii="Times New Roman Bold" w:hAnsi="Times New Roman Bold"/>
          <w:b/>
          <w:caps/>
          <w:sz w:val="22"/>
          <w:szCs w:val="22"/>
        </w:rPr>
        <w:t>Technical series on synthetic biology</w:t>
      </w:r>
    </w:p>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125"/>
        <w:gridCol w:w="107"/>
        <w:gridCol w:w="8038"/>
      </w:tblGrid>
      <w:tr w:rsidR="00593BC6" w:rsidRPr="00C658CD" w14:paraId="7DBA9CF5" w14:textId="77777777" w:rsidTr="00EA105F">
        <w:trPr>
          <w:cantSplit/>
          <w:trHeight w:val="233"/>
        </w:trPr>
        <w:tc>
          <w:tcPr>
            <w:tcW w:w="10188" w:type="dxa"/>
            <w:gridSpan w:val="4"/>
            <w:shd w:val="clear" w:color="auto" w:fill="C0C0C0"/>
          </w:tcPr>
          <w:p w14:paraId="0C71E9D1" w14:textId="77777777" w:rsidR="00593BC6" w:rsidRPr="00C658CD" w:rsidRDefault="00593BC6" w:rsidP="00EA105F">
            <w:pPr>
              <w:rPr>
                <w:b/>
                <w:sz w:val="22"/>
                <w:szCs w:val="22"/>
              </w:rPr>
            </w:pPr>
          </w:p>
          <w:p w14:paraId="0923A0AA" w14:textId="77777777" w:rsidR="00593BC6" w:rsidRPr="00C658CD" w:rsidRDefault="00593BC6" w:rsidP="00EA105F">
            <w:pPr>
              <w:rPr>
                <w:b/>
                <w:sz w:val="22"/>
                <w:szCs w:val="22"/>
              </w:rPr>
            </w:pPr>
            <w:r w:rsidRPr="00C658CD">
              <w:rPr>
                <w:b/>
                <w:sz w:val="22"/>
                <w:szCs w:val="22"/>
              </w:rPr>
              <w:t>Contact information</w:t>
            </w:r>
          </w:p>
          <w:p w14:paraId="36D753E7" w14:textId="77777777" w:rsidR="00593BC6" w:rsidRPr="00C658CD" w:rsidRDefault="00593BC6" w:rsidP="00EA105F">
            <w:pPr>
              <w:rPr>
                <w:b/>
                <w:sz w:val="22"/>
                <w:szCs w:val="22"/>
              </w:rPr>
            </w:pPr>
          </w:p>
        </w:tc>
      </w:tr>
      <w:tr w:rsidR="00581284" w:rsidRPr="00C658CD" w14:paraId="46FEF9A4" w14:textId="77777777" w:rsidTr="00EA105F">
        <w:trPr>
          <w:cantSplit/>
          <w:trHeight w:val="270"/>
        </w:trPr>
        <w:tc>
          <w:tcPr>
            <w:tcW w:w="2150" w:type="dxa"/>
            <w:gridSpan w:val="3"/>
          </w:tcPr>
          <w:p w14:paraId="6494BFCE" w14:textId="77777777" w:rsidR="00581284" w:rsidRPr="00C658CD" w:rsidRDefault="00581284" w:rsidP="00EA105F">
            <w:pPr>
              <w:rPr>
                <w:b/>
                <w:sz w:val="22"/>
                <w:szCs w:val="22"/>
              </w:rPr>
            </w:pPr>
          </w:p>
        </w:tc>
        <w:tc>
          <w:tcPr>
            <w:tcW w:w="8038" w:type="dxa"/>
          </w:tcPr>
          <w:p w14:paraId="398F3C09" w14:textId="01B6A079" w:rsidR="00581284" w:rsidRPr="00581284" w:rsidRDefault="00581284" w:rsidP="00EA105F">
            <w:pPr>
              <w:rPr>
                <w:b/>
                <w:sz w:val="22"/>
                <w:szCs w:val="22"/>
              </w:rPr>
            </w:pPr>
            <w:r w:rsidRPr="00581284">
              <w:rPr>
                <w:b/>
                <w:sz w:val="22"/>
                <w:szCs w:val="22"/>
              </w:rPr>
              <w:t xml:space="preserve">This form compiles comments from experts from several Government of Canada departments and </w:t>
            </w:r>
            <w:proofErr w:type="gramStart"/>
            <w:r w:rsidRPr="00581284">
              <w:rPr>
                <w:b/>
                <w:sz w:val="22"/>
                <w:szCs w:val="22"/>
              </w:rPr>
              <w:t>should not be construed</w:t>
            </w:r>
            <w:proofErr w:type="gramEnd"/>
            <w:r w:rsidRPr="00581284">
              <w:rPr>
                <w:b/>
                <w:sz w:val="22"/>
                <w:szCs w:val="22"/>
              </w:rPr>
              <w:t xml:space="preserve"> as reflecting official positions of the Government of Canada.</w:t>
            </w:r>
          </w:p>
        </w:tc>
      </w:tr>
      <w:tr w:rsidR="00593BC6" w:rsidRPr="00C658CD" w14:paraId="399E2057" w14:textId="77777777" w:rsidTr="00EA105F">
        <w:trPr>
          <w:cantSplit/>
          <w:trHeight w:val="270"/>
        </w:trPr>
        <w:tc>
          <w:tcPr>
            <w:tcW w:w="2150" w:type="dxa"/>
            <w:gridSpan w:val="3"/>
          </w:tcPr>
          <w:p w14:paraId="7B244D40" w14:textId="77777777" w:rsidR="00593BC6" w:rsidRPr="00C658CD" w:rsidRDefault="00593BC6" w:rsidP="00EA105F">
            <w:pPr>
              <w:rPr>
                <w:b/>
                <w:sz w:val="22"/>
                <w:szCs w:val="22"/>
              </w:rPr>
            </w:pPr>
            <w:r w:rsidRPr="00C658CD">
              <w:rPr>
                <w:b/>
                <w:sz w:val="22"/>
                <w:szCs w:val="22"/>
              </w:rPr>
              <w:t>Surname:</w:t>
            </w:r>
          </w:p>
        </w:tc>
        <w:tc>
          <w:tcPr>
            <w:tcW w:w="8038" w:type="dxa"/>
          </w:tcPr>
          <w:p w14:paraId="3AB47FF8" w14:textId="0376E274" w:rsidR="00593BC6" w:rsidRPr="00C658CD" w:rsidRDefault="00581284" w:rsidP="00EA105F">
            <w:pPr>
              <w:rPr>
                <w:sz w:val="22"/>
                <w:szCs w:val="22"/>
              </w:rPr>
            </w:pPr>
            <w:r>
              <w:rPr>
                <w:sz w:val="22"/>
                <w:szCs w:val="22"/>
              </w:rPr>
              <w:t>Davis</w:t>
            </w:r>
          </w:p>
        </w:tc>
      </w:tr>
      <w:tr w:rsidR="00593BC6" w:rsidRPr="00C658CD" w14:paraId="2D70246E" w14:textId="77777777" w:rsidTr="00EA105F">
        <w:trPr>
          <w:cantSplit/>
          <w:trHeight w:val="280"/>
        </w:trPr>
        <w:tc>
          <w:tcPr>
            <w:tcW w:w="2150" w:type="dxa"/>
            <w:gridSpan w:val="3"/>
          </w:tcPr>
          <w:p w14:paraId="024B7BE1" w14:textId="77777777" w:rsidR="00593BC6" w:rsidRPr="00C658CD" w:rsidRDefault="00593BC6" w:rsidP="00EA105F">
            <w:pPr>
              <w:rPr>
                <w:b/>
                <w:sz w:val="22"/>
                <w:szCs w:val="22"/>
              </w:rPr>
            </w:pPr>
          </w:p>
        </w:tc>
        <w:tc>
          <w:tcPr>
            <w:tcW w:w="8038" w:type="dxa"/>
          </w:tcPr>
          <w:p w14:paraId="24DC2B26" w14:textId="77777777" w:rsidR="00593BC6" w:rsidRPr="00C658CD" w:rsidRDefault="00593BC6" w:rsidP="00EA105F">
            <w:pPr>
              <w:rPr>
                <w:sz w:val="22"/>
                <w:szCs w:val="22"/>
              </w:rPr>
            </w:pPr>
          </w:p>
        </w:tc>
      </w:tr>
      <w:tr w:rsidR="00593BC6" w:rsidRPr="00C658CD" w14:paraId="6960F46D" w14:textId="77777777" w:rsidTr="00EA105F">
        <w:trPr>
          <w:cantSplit/>
          <w:trHeight w:val="270"/>
        </w:trPr>
        <w:tc>
          <w:tcPr>
            <w:tcW w:w="2150" w:type="dxa"/>
            <w:gridSpan w:val="3"/>
          </w:tcPr>
          <w:p w14:paraId="42324F5A" w14:textId="77777777" w:rsidR="00593BC6" w:rsidRPr="00C658CD" w:rsidRDefault="00593BC6" w:rsidP="00EA105F">
            <w:pPr>
              <w:rPr>
                <w:b/>
                <w:sz w:val="22"/>
                <w:szCs w:val="22"/>
              </w:rPr>
            </w:pPr>
            <w:r w:rsidRPr="00C658CD">
              <w:rPr>
                <w:b/>
                <w:sz w:val="22"/>
                <w:szCs w:val="22"/>
              </w:rPr>
              <w:t>Given Name:</w:t>
            </w:r>
          </w:p>
        </w:tc>
        <w:tc>
          <w:tcPr>
            <w:tcW w:w="8038" w:type="dxa"/>
          </w:tcPr>
          <w:p w14:paraId="1F1AFCCD" w14:textId="1019CB39" w:rsidR="00593BC6" w:rsidRPr="00C658CD" w:rsidRDefault="00581284" w:rsidP="00EA105F">
            <w:pPr>
              <w:rPr>
                <w:sz w:val="22"/>
                <w:szCs w:val="22"/>
              </w:rPr>
            </w:pPr>
            <w:r>
              <w:rPr>
                <w:sz w:val="22"/>
                <w:szCs w:val="22"/>
              </w:rPr>
              <w:t>Kathryn</w:t>
            </w:r>
          </w:p>
        </w:tc>
      </w:tr>
      <w:tr w:rsidR="00593BC6" w:rsidRPr="00C658CD" w14:paraId="4D0E31D1" w14:textId="77777777" w:rsidTr="00EA105F">
        <w:trPr>
          <w:cantSplit/>
          <w:trHeight w:val="280"/>
        </w:trPr>
        <w:tc>
          <w:tcPr>
            <w:tcW w:w="2150" w:type="dxa"/>
            <w:gridSpan w:val="3"/>
          </w:tcPr>
          <w:p w14:paraId="478DDD07" w14:textId="77777777" w:rsidR="00593BC6" w:rsidRPr="00C658CD" w:rsidRDefault="00593BC6" w:rsidP="00EA105F">
            <w:pPr>
              <w:rPr>
                <w:b/>
                <w:sz w:val="22"/>
                <w:szCs w:val="22"/>
              </w:rPr>
            </w:pPr>
          </w:p>
        </w:tc>
        <w:tc>
          <w:tcPr>
            <w:tcW w:w="8038" w:type="dxa"/>
          </w:tcPr>
          <w:p w14:paraId="286530CF" w14:textId="77777777" w:rsidR="00593BC6" w:rsidRPr="00C658CD" w:rsidRDefault="00593BC6" w:rsidP="00EA105F">
            <w:pPr>
              <w:rPr>
                <w:sz w:val="22"/>
                <w:szCs w:val="22"/>
              </w:rPr>
            </w:pPr>
          </w:p>
        </w:tc>
      </w:tr>
      <w:tr w:rsidR="00593BC6" w:rsidRPr="00FF1A2A" w14:paraId="1C3067B8" w14:textId="77777777" w:rsidTr="00EA105F">
        <w:trPr>
          <w:cantSplit/>
          <w:trHeight w:val="270"/>
        </w:trPr>
        <w:tc>
          <w:tcPr>
            <w:tcW w:w="2150" w:type="dxa"/>
            <w:gridSpan w:val="3"/>
          </w:tcPr>
          <w:p w14:paraId="3499F6BE" w14:textId="77777777" w:rsidR="00593BC6" w:rsidRPr="00C658CD" w:rsidRDefault="00593BC6" w:rsidP="00EA105F">
            <w:pPr>
              <w:rPr>
                <w:b/>
                <w:sz w:val="22"/>
                <w:szCs w:val="22"/>
              </w:rPr>
            </w:pPr>
            <w:r w:rsidRPr="00C658CD">
              <w:rPr>
                <w:b/>
                <w:sz w:val="22"/>
                <w:szCs w:val="22"/>
              </w:rPr>
              <w:t>Government</w:t>
            </w:r>
          </w:p>
        </w:tc>
        <w:tc>
          <w:tcPr>
            <w:tcW w:w="8038" w:type="dxa"/>
          </w:tcPr>
          <w:p w14:paraId="119BAC5F" w14:textId="7C3A4D3F" w:rsidR="00593BC6" w:rsidRPr="00F86F63" w:rsidRDefault="00581284" w:rsidP="00EA105F">
            <w:pPr>
              <w:rPr>
                <w:sz w:val="22"/>
                <w:szCs w:val="22"/>
              </w:rPr>
            </w:pPr>
            <w:r>
              <w:rPr>
                <w:sz w:val="22"/>
                <w:szCs w:val="22"/>
              </w:rPr>
              <w:t>Canada</w:t>
            </w:r>
          </w:p>
        </w:tc>
      </w:tr>
      <w:tr w:rsidR="00593BC6" w:rsidRPr="00C658CD" w14:paraId="590623FC" w14:textId="77777777" w:rsidTr="00EA105F">
        <w:trPr>
          <w:cantSplit/>
          <w:trHeight w:val="280"/>
        </w:trPr>
        <w:tc>
          <w:tcPr>
            <w:tcW w:w="2150" w:type="dxa"/>
            <w:gridSpan w:val="3"/>
          </w:tcPr>
          <w:p w14:paraId="0807C1F5" w14:textId="77777777" w:rsidR="00593BC6" w:rsidRPr="00C658CD" w:rsidRDefault="00593BC6" w:rsidP="00EA105F">
            <w:pPr>
              <w:rPr>
                <w:b/>
                <w:sz w:val="22"/>
                <w:szCs w:val="22"/>
              </w:rPr>
            </w:pPr>
            <w:r w:rsidRPr="00C658CD">
              <w:rPr>
                <w:b/>
                <w:sz w:val="22"/>
                <w:szCs w:val="22"/>
              </w:rPr>
              <w:t>(if applicable):</w:t>
            </w:r>
          </w:p>
        </w:tc>
        <w:tc>
          <w:tcPr>
            <w:tcW w:w="8038" w:type="dxa"/>
          </w:tcPr>
          <w:p w14:paraId="2CA88BC1" w14:textId="77777777" w:rsidR="00593BC6" w:rsidRPr="00C658CD" w:rsidRDefault="00593BC6" w:rsidP="00EA105F">
            <w:pPr>
              <w:rPr>
                <w:sz w:val="22"/>
                <w:szCs w:val="22"/>
              </w:rPr>
            </w:pPr>
          </w:p>
        </w:tc>
      </w:tr>
      <w:tr w:rsidR="00593BC6" w:rsidRPr="00C658CD" w14:paraId="131D5B27" w14:textId="77777777" w:rsidTr="00EA105F">
        <w:trPr>
          <w:cantSplit/>
          <w:trHeight w:val="270"/>
        </w:trPr>
        <w:tc>
          <w:tcPr>
            <w:tcW w:w="2150" w:type="dxa"/>
            <w:gridSpan w:val="3"/>
          </w:tcPr>
          <w:p w14:paraId="5B9F4F37" w14:textId="77777777" w:rsidR="00593BC6" w:rsidRPr="00C658CD" w:rsidRDefault="00593BC6" w:rsidP="00EA105F">
            <w:pPr>
              <w:rPr>
                <w:b/>
                <w:sz w:val="22"/>
                <w:szCs w:val="22"/>
              </w:rPr>
            </w:pPr>
          </w:p>
        </w:tc>
        <w:tc>
          <w:tcPr>
            <w:tcW w:w="8038" w:type="dxa"/>
          </w:tcPr>
          <w:p w14:paraId="09AED490" w14:textId="77777777" w:rsidR="00593BC6" w:rsidRPr="00C658CD" w:rsidRDefault="00593BC6" w:rsidP="00EA105F">
            <w:pPr>
              <w:rPr>
                <w:sz w:val="22"/>
                <w:szCs w:val="22"/>
              </w:rPr>
            </w:pPr>
          </w:p>
        </w:tc>
      </w:tr>
      <w:tr w:rsidR="00593BC6" w:rsidRPr="00C658CD" w14:paraId="2C8FC01D" w14:textId="77777777" w:rsidTr="00EA105F">
        <w:trPr>
          <w:cantSplit/>
          <w:trHeight w:val="270"/>
        </w:trPr>
        <w:tc>
          <w:tcPr>
            <w:tcW w:w="2150" w:type="dxa"/>
            <w:gridSpan w:val="3"/>
          </w:tcPr>
          <w:p w14:paraId="683E9B8A" w14:textId="77777777" w:rsidR="00593BC6" w:rsidRPr="00C658CD" w:rsidRDefault="00593BC6" w:rsidP="00EA105F">
            <w:pPr>
              <w:rPr>
                <w:b/>
                <w:sz w:val="22"/>
                <w:szCs w:val="22"/>
              </w:rPr>
            </w:pPr>
            <w:r w:rsidRPr="00C658CD">
              <w:rPr>
                <w:b/>
                <w:sz w:val="22"/>
                <w:szCs w:val="22"/>
              </w:rPr>
              <w:t>Organization:</w:t>
            </w:r>
          </w:p>
        </w:tc>
        <w:tc>
          <w:tcPr>
            <w:tcW w:w="8038" w:type="dxa"/>
          </w:tcPr>
          <w:p w14:paraId="44E1FC10" w14:textId="77777777" w:rsidR="00593BC6" w:rsidRPr="00C658CD" w:rsidRDefault="00593BC6" w:rsidP="00EA105F">
            <w:pPr>
              <w:rPr>
                <w:sz w:val="22"/>
                <w:szCs w:val="22"/>
              </w:rPr>
            </w:pPr>
          </w:p>
        </w:tc>
      </w:tr>
      <w:tr w:rsidR="00593BC6" w:rsidRPr="00C658CD" w14:paraId="3ED36EA3" w14:textId="77777777" w:rsidTr="00EA105F">
        <w:trPr>
          <w:cantSplit/>
          <w:trHeight w:val="233"/>
        </w:trPr>
        <w:tc>
          <w:tcPr>
            <w:tcW w:w="2150" w:type="dxa"/>
            <w:gridSpan w:val="3"/>
          </w:tcPr>
          <w:p w14:paraId="21C9EB42" w14:textId="77777777" w:rsidR="00593BC6" w:rsidRPr="00C658CD" w:rsidRDefault="00593BC6" w:rsidP="00EA105F">
            <w:pPr>
              <w:rPr>
                <w:b/>
                <w:sz w:val="22"/>
                <w:szCs w:val="22"/>
              </w:rPr>
            </w:pPr>
          </w:p>
        </w:tc>
        <w:tc>
          <w:tcPr>
            <w:tcW w:w="8038" w:type="dxa"/>
          </w:tcPr>
          <w:p w14:paraId="5A530AD5" w14:textId="77777777" w:rsidR="00593BC6" w:rsidRPr="00C658CD" w:rsidRDefault="00593BC6" w:rsidP="00EA105F">
            <w:pPr>
              <w:rPr>
                <w:sz w:val="22"/>
                <w:szCs w:val="22"/>
              </w:rPr>
            </w:pPr>
          </w:p>
        </w:tc>
      </w:tr>
      <w:tr w:rsidR="00593BC6" w:rsidRPr="00C658CD" w14:paraId="329D03C5" w14:textId="77777777" w:rsidTr="00EA105F">
        <w:trPr>
          <w:cantSplit/>
          <w:trHeight w:val="233"/>
        </w:trPr>
        <w:tc>
          <w:tcPr>
            <w:tcW w:w="2150" w:type="dxa"/>
            <w:gridSpan w:val="3"/>
          </w:tcPr>
          <w:p w14:paraId="50483436" w14:textId="77777777" w:rsidR="00593BC6" w:rsidRPr="00C658CD" w:rsidRDefault="00593BC6" w:rsidP="00EA105F">
            <w:pPr>
              <w:rPr>
                <w:b/>
                <w:sz w:val="22"/>
                <w:szCs w:val="22"/>
              </w:rPr>
            </w:pPr>
            <w:r w:rsidRPr="00C658CD">
              <w:rPr>
                <w:b/>
                <w:sz w:val="22"/>
                <w:szCs w:val="22"/>
              </w:rPr>
              <w:t>E-mail:</w:t>
            </w:r>
          </w:p>
        </w:tc>
        <w:tc>
          <w:tcPr>
            <w:tcW w:w="8038" w:type="dxa"/>
          </w:tcPr>
          <w:p w14:paraId="7D07E304" w14:textId="6C0CF609" w:rsidR="00593BC6" w:rsidRPr="00C658CD" w:rsidRDefault="00581284" w:rsidP="00EA105F">
            <w:pPr>
              <w:rPr>
                <w:sz w:val="22"/>
                <w:szCs w:val="22"/>
              </w:rPr>
            </w:pPr>
            <w:r>
              <w:rPr>
                <w:sz w:val="22"/>
                <w:szCs w:val="22"/>
              </w:rPr>
              <w:t>Kathryn.davis@canada.ca</w:t>
            </w:r>
          </w:p>
        </w:tc>
      </w:tr>
      <w:tr w:rsidR="00593BC6" w:rsidRPr="00C658CD" w14:paraId="59BA55E5" w14:textId="77777777" w:rsidTr="00EA105F">
        <w:trPr>
          <w:cantSplit/>
          <w:trHeight w:val="233"/>
        </w:trPr>
        <w:tc>
          <w:tcPr>
            <w:tcW w:w="2150" w:type="dxa"/>
            <w:gridSpan w:val="3"/>
          </w:tcPr>
          <w:p w14:paraId="4CA66506" w14:textId="77777777" w:rsidR="00593BC6" w:rsidRPr="00C658CD" w:rsidRDefault="00593BC6" w:rsidP="00EA105F">
            <w:pPr>
              <w:rPr>
                <w:b/>
                <w:sz w:val="22"/>
                <w:szCs w:val="22"/>
              </w:rPr>
            </w:pPr>
          </w:p>
        </w:tc>
        <w:tc>
          <w:tcPr>
            <w:tcW w:w="8038" w:type="dxa"/>
          </w:tcPr>
          <w:p w14:paraId="267E6375" w14:textId="77777777" w:rsidR="00593BC6" w:rsidRPr="00C658CD" w:rsidRDefault="00593BC6" w:rsidP="00EA105F">
            <w:pPr>
              <w:rPr>
                <w:sz w:val="22"/>
                <w:szCs w:val="22"/>
              </w:rPr>
            </w:pPr>
          </w:p>
        </w:tc>
      </w:tr>
      <w:tr w:rsidR="00593BC6" w:rsidRPr="00C658CD" w14:paraId="333DFC97" w14:textId="77777777" w:rsidTr="00EA105F">
        <w:trPr>
          <w:cantSplit/>
          <w:trHeight w:val="233"/>
        </w:trPr>
        <w:tc>
          <w:tcPr>
            <w:tcW w:w="10188" w:type="dxa"/>
            <w:gridSpan w:val="4"/>
            <w:shd w:val="clear" w:color="auto" w:fill="BFBFBF"/>
          </w:tcPr>
          <w:p w14:paraId="21278E85" w14:textId="77777777" w:rsidR="00593BC6" w:rsidRPr="00C658CD" w:rsidRDefault="00593BC6" w:rsidP="00EA105F">
            <w:pPr>
              <w:rPr>
                <w:b/>
                <w:sz w:val="22"/>
                <w:szCs w:val="22"/>
              </w:rPr>
            </w:pPr>
          </w:p>
          <w:p w14:paraId="05933792" w14:textId="14B8E253" w:rsidR="00593BC6" w:rsidRPr="00C658CD" w:rsidRDefault="00593BC6" w:rsidP="00EA105F">
            <w:pPr>
              <w:rPr>
                <w:b/>
                <w:sz w:val="22"/>
                <w:szCs w:val="22"/>
              </w:rPr>
            </w:pPr>
            <w:r w:rsidRPr="00C658CD">
              <w:rPr>
                <w:b/>
                <w:sz w:val="22"/>
                <w:szCs w:val="22"/>
              </w:rPr>
              <w:t>Comments on th</w:t>
            </w:r>
            <w:r w:rsidR="00363EF2">
              <w:rPr>
                <w:b/>
                <w:sz w:val="22"/>
                <w:szCs w:val="22"/>
              </w:rPr>
              <w:t>e Technical Series on Synthetic Biology</w:t>
            </w:r>
          </w:p>
          <w:p w14:paraId="7BC798CD" w14:textId="77777777" w:rsidR="00593BC6" w:rsidRPr="00C658CD" w:rsidRDefault="00593BC6" w:rsidP="00EA105F">
            <w:pPr>
              <w:rPr>
                <w:b/>
                <w:sz w:val="22"/>
                <w:szCs w:val="22"/>
              </w:rPr>
            </w:pPr>
          </w:p>
        </w:tc>
      </w:tr>
      <w:tr w:rsidR="00593BC6" w:rsidRPr="00C658CD" w14:paraId="2A5F8AC1" w14:textId="77777777" w:rsidTr="00135D96">
        <w:trPr>
          <w:cantSplit/>
          <w:trHeight w:val="233"/>
        </w:trPr>
        <w:tc>
          <w:tcPr>
            <w:tcW w:w="918" w:type="dxa"/>
          </w:tcPr>
          <w:p w14:paraId="6C0FFA1B" w14:textId="77777777" w:rsidR="00593BC6" w:rsidRPr="00C658CD" w:rsidRDefault="00593BC6" w:rsidP="00EA105F">
            <w:pPr>
              <w:rPr>
                <w:b/>
                <w:sz w:val="22"/>
                <w:szCs w:val="22"/>
              </w:rPr>
            </w:pPr>
            <w:r w:rsidRPr="00C658CD">
              <w:rPr>
                <w:b/>
                <w:sz w:val="22"/>
                <w:szCs w:val="22"/>
              </w:rPr>
              <w:t>Page</w:t>
            </w:r>
            <w:r w:rsidR="00F94D0C">
              <w:rPr>
                <w:b/>
                <w:sz w:val="22"/>
                <w:szCs w:val="22"/>
              </w:rPr>
              <w:t xml:space="preserve"> #</w:t>
            </w:r>
          </w:p>
        </w:tc>
        <w:tc>
          <w:tcPr>
            <w:tcW w:w="1125" w:type="dxa"/>
          </w:tcPr>
          <w:p w14:paraId="3BFAC210" w14:textId="77777777" w:rsidR="00593BC6" w:rsidRPr="00C658CD" w:rsidRDefault="005411E6" w:rsidP="00135D96">
            <w:pPr>
              <w:rPr>
                <w:b/>
                <w:sz w:val="22"/>
                <w:szCs w:val="22"/>
              </w:rPr>
            </w:pPr>
            <w:r>
              <w:rPr>
                <w:b/>
                <w:sz w:val="22"/>
                <w:szCs w:val="22"/>
              </w:rPr>
              <w:t xml:space="preserve">Line </w:t>
            </w:r>
            <w:r w:rsidR="00135D96">
              <w:rPr>
                <w:b/>
                <w:sz w:val="22"/>
                <w:szCs w:val="22"/>
              </w:rPr>
              <w:t>#</w:t>
            </w:r>
          </w:p>
        </w:tc>
        <w:tc>
          <w:tcPr>
            <w:tcW w:w="8145" w:type="dxa"/>
            <w:gridSpan w:val="2"/>
          </w:tcPr>
          <w:p w14:paraId="1DF3BB27" w14:textId="77777777" w:rsidR="00593BC6" w:rsidRPr="00C658CD" w:rsidRDefault="00593BC6" w:rsidP="00EA105F">
            <w:pPr>
              <w:rPr>
                <w:b/>
                <w:sz w:val="22"/>
                <w:szCs w:val="22"/>
              </w:rPr>
            </w:pPr>
            <w:r w:rsidRPr="00C658CD">
              <w:rPr>
                <w:b/>
                <w:sz w:val="22"/>
                <w:szCs w:val="22"/>
              </w:rPr>
              <w:t>Comment</w:t>
            </w:r>
          </w:p>
        </w:tc>
      </w:tr>
      <w:tr w:rsidR="00593BC6" w:rsidRPr="00C658CD" w14:paraId="52D4B2D0" w14:textId="77777777" w:rsidTr="00135D96">
        <w:trPr>
          <w:cantSplit/>
          <w:trHeight w:val="233"/>
        </w:trPr>
        <w:tc>
          <w:tcPr>
            <w:tcW w:w="918" w:type="dxa"/>
          </w:tcPr>
          <w:p w14:paraId="2E5AE1CF" w14:textId="77777777" w:rsidR="00593BC6" w:rsidRPr="00C658CD" w:rsidRDefault="00593BC6" w:rsidP="00EA105F">
            <w:pPr>
              <w:rPr>
                <w:sz w:val="22"/>
                <w:szCs w:val="22"/>
              </w:rPr>
            </w:pPr>
            <w:r w:rsidRPr="00C658CD">
              <w:rPr>
                <w:sz w:val="22"/>
                <w:szCs w:val="22"/>
              </w:rPr>
              <w:t>0</w:t>
            </w:r>
          </w:p>
        </w:tc>
        <w:tc>
          <w:tcPr>
            <w:tcW w:w="1125" w:type="dxa"/>
          </w:tcPr>
          <w:p w14:paraId="6F9597EA" w14:textId="77777777" w:rsidR="00593BC6" w:rsidRPr="00C658CD" w:rsidRDefault="00593BC6" w:rsidP="00EA105F">
            <w:pPr>
              <w:rPr>
                <w:sz w:val="22"/>
                <w:szCs w:val="22"/>
              </w:rPr>
            </w:pPr>
            <w:r w:rsidRPr="00C658CD">
              <w:rPr>
                <w:sz w:val="22"/>
                <w:szCs w:val="22"/>
              </w:rPr>
              <w:t>0</w:t>
            </w:r>
          </w:p>
        </w:tc>
        <w:tc>
          <w:tcPr>
            <w:tcW w:w="8145" w:type="dxa"/>
            <w:gridSpan w:val="2"/>
          </w:tcPr>
          <w:p w14:paraId="25CF32FB" w14:textId="77777777" w:rsidR="0018238B" w:rsidRPr="00C57627" w:rsidRDefault="0018238B" w:rsidP="0018238B">
            <w:pPr>
              <w:rPr>
                <w:sz w:val="22"/>
                <w:szCs w:val="22"/>
              </w:rPr>
            </w:pPr>
            <w:r w:rsidRPr="00C57627">
              <w:rPr>
                <w:sz w:val="22"/>
                <w:szCs w:val="22"/>
              </w:rPr>
              <w:t>Off target effects</w:t>
            </w:r>
          </w:p>
          <w:p w14:paraId="18E38E98" w14:textId="77777777" w:rsidR="0018238B" w:rsidRPr="00C57627" w:rsidRDefault="0018238B" w:rsidP="0018238B">
            <w:pPr>
              <w:rPr>
                <w:sz w:val="22"/>
                <w:szCs w:val="22"/>
              </w:rPr>
            </w:pPr>
          </w:p>
          <w:p w14:paraId="6CE214AA" w14:textId="77777777" w:rsidR="0018238B" w:rsidRPr="00C57627" w:rsidRDefault="0018238B" w:rsidP="0018238B">
            <w:pPr>
              <w:rPr>
                <w:sz w:val="22"/>
                <w:szCs w:val="22"/>
              </w:rPr>
            </w:pPr>
            <w:r w:rsidRPr="00C57627">
              <w:rPr>
                <w:sz w:val="22"/>
                <w:szCs w:val="22"/>
              </w:rPr>
              <w:t>The analysis of potential risk of off-target effects does not fully place the potential risk of off-target effects into the larger context of genetic changes that may occur through spontaneous or conventional breeding, nor does it indicate how</w:t>
            </w:r>
            <w:r>
              <w:rPr>
                <w:sz w:val="22"/>
                <w:szCs w:val="22"/>
              </w:rPr>
              <w:t xml:space="preserve"> off-target</w:t>
            </w:r>
            <w:r w:rsidRPr="00C57627">
              <w:rPr>
                <w:sz w:val="22"/>
                <w:szCs w:val="22"/>
              </w:rPr>
              <w:t xml:space="preserve"> effects </w:t>
            </w:r>
            <w:proofErr w:type="gramStart"/>
            <w:r w:rsidRPr="00C57627">
              <w:rPr>
                <w:sz w:val="22"/>
                <w:szCs w:val="22"/>
              </w:rPr>
              <w:t>can be observed and mitigated</w:t>
            </w:r>
            <w:proofErr w:type="gramEnd"/>
            <w:r w:rsidRPr="00C57627">
              <w:rPr>
                <w:sz w:val="22"/>
                <w:szCs w:val="22"/>
              </w:rPr>
              <w:t xml:space="preserve">.  </w:t>
            </w:r>
          </w:p>
          <w:p w14:paraId="383FA77C" w14:textId="77777777" w:rsidR="0018238B" w:rsidRPr="00C57627" w:rsidRDefault="0018238B" w:rsidP="0018238B">
            <w:pPr>
              <w:rPr>
                <w:sz w:val="22"/>
                <w:szCs w:val="22"/>
              </w:rPr>
            </w:pPr>
          </w:p>
          <w:p w14:paraId="7D08FEE9" w14:textId="77777777" w:rsidR="0018238B" w:rsidRPr="00C57627" w:rsidRDefault="0018238B" w:rsidP="0018238B">
            <w:pPr>
              <w:rPr>
                <w:sz w:val="22"/>
                <w:szCs w:val="22"/>
              </w:rPr>
            </w:pPr>
            <w:r w:rsidRPr="00C57627">
              <w:rPr>
                <w:sz w:val="22"/>
                <w:szCs w:val="22"/>
              </w:rPr>
              <w:t>Please see Schnell et al, 2014</w:t>
            </w:r>
            <w:proofErr w:type="gramStart"/>
            <w:r w:rsidRPr="00C57627">
              <w:rPr>
                <w:sz w:val="22"/>
                <w:szCs w:val="22"/>
              </w:rPr>
              <w:t>:</w:t>
            </w:r>
            <w:proofErr w:type="gramEnd"/>
            <w:r>
              <w:fldChar w:fldCharType="begin"/>
            </w:r>
            <w:r>
              <w:instrText xml:space="preserve"> HYPERLINK "https://link.springer.com/article/10.1007/s11248-014-9843-7" </w:instrText>
            </w:r>
            <w:r>
              <w:fldChar w:fldCharType="separate"/>
            </w:r>
            <w:r w:rsidRPr="00C57627">
              <w:rPr>
                <w:rStyle w:val="Hyperlink"/>
                <w:sz w:val="22"/>
                <w:szCs w:val="22"/>
              </w:rPr>
              <w:t xml:space="preserve">A comparative analysis of insertional effects in genetically engineered plants: considerations for pre-market assessments | </w:t>
            </w:r>
            <w:proofErr w:type="spellStart"/>
            <w:r w:rsidRPr="00C57627">
              <w:rPr>
                <w:rStyle w:val="Hyperlink"/>
                <w:sz w:val="22"/>
                <w:szCs w:val="22"/>
              </w:rPr>
              <w:t>SpringerLink</w:t>
            </w:r>
            <w:proofErr w:type="spellEnd"/>
            <w:r>
              <w:rPr>
                <w:rStyle w:val="Hyperlink"/>
                <w:sz w:val="22"/>
                <w:szCs w:val="22"/>
              </w:rPr>
              <w:fldChar w:fldCharType="end"/>
            </w:r>
            <w:r w:rsidRPr="00C57627">
              <w:rPr>
                <w:sz w:val="22"/>
                <w:szCs w:val="22"/>
              </w:rPr>
              <w:t xml:space="preserve">. Although this paper does not deal with synthetic biology applications, it does present a discussion around the spontaneously occurring genetic changes that happen in plants (transposons, NHEJ, conventional breeding, </w:t>
            </w:r>
            <w:proofErr w:type="spellStart"/>
            <w:r w:rsidRPr="00C57627">
              <w:rPr>
                <w:sz w:val="22"/>
                <w:szCs w:val="22"/>
              </w:rPr>
              <w:t>etc</w:t>
            </w:r>
            <w:proofErr w:type="spellEnd"/>
            <w:r w:rsidRPr="00C57627">
              <w:rPr>
                <w:sz w:val="22"/>
                <w:szCs w:val="22"/>
              </w:rPr>
              <w:t>) and a summary of risk assessment of positional effects as unintended genetic changes.  For example, the following excerpts regarding mitigation of risk from Schnell et al, 2014 may provide more context :</w:t>
            </w:r>
          </w:p>
          <w:p w14:paraId="5D2819B1" w14:textId="77777777" w:rsidR="0018238B" w:rsidRPr="00C57627" w:rsidRDefault="0018238B" w:rsidP="0018238B">
            <w:pPr>
              <w:rPr>
                <w:sz w:val="22"/>
                <w:szCs w:val="22"/>
              </w:rPr>
            </w:pPr>
          </w:p>
          <w:p w14:paraId="666E8E9D" w14:textId="77777777" w:rsidR="0018238B" w:rsidRPr="00C57627" w:rsidRDefault="0018238B" w:rsidP="0018238B">
            <w:pPr>
              <w:rPr>
                <w:sz w:val="22"/>
                <w:szCs w:val="22"/>
              </w:rPr>
            </w:pPr>
            <w:r w:rsidRPr="00C57627">
              <w:rPr>
                <w:sz w:val="22"/>
                <w:szCs w:val="22"/>
              </w:rPr>
              <w:t xml:space="preserve">“As has already been discussed, the relationship between genotype and phenotype is complex and it is also tempered by the environment. Genetic changes </w:t>
            </w:r>
            <w:proofErr w:type="gramStart"/>
            <w:r w:rsidRPr="00C57627">
              <w:rPr>
                <w:sz w:val="22"/>
                <w:szCs w:val="22"/>
              </w:rPr>
              <w:t>may be introduced</w:t>
            </w:r>
            <w:proofErr w:type="gramEnd"/>
            <w:r w:rsidRPr="00C57627">
              <w:rPr>
                <w:sz w:val="22"/>
                <w:szCs w:val="22"/>
              </w:rPr>
              <w:t xml:space="preserve"> into plants spontaneously or through conventional breeding or genetic engineering. The buffering capabilities of plant genomes and the quality control systems in plant cells will prevent many of these genetic changes from giving rise to discernible changes in a plant’s phenotype.”</w:t>
            </w:r>
          </w:p>
          <w:p w14:paraId="3A620BC8" w14:textId="77777777" w:rsidR="0018238B" w:rsidRPr="00C57627" w:rsidRDefault="0018238B" w:rsidP="0018238B">
            <w:pPr>
              <w:rPr>
                <w:sz w:val="22"/>
                <w:szCs w:val="22"/>
              </w:rPr>
            </w:pPr>
          </w:p>
          <w:p w14:paraId="5E6ABCF7" w14:textId="77777777" w:rsidR="0018238B" w:rsidRPr="00C57627" w:rsidRDefault="0018238B" w:rsidP="0018238B">
            <w:pPr>
              <w:rPr>
                <w:sz w:val="22"/>
                <w:szCs w:val="22"/>
              </w:rPr>
            </w:pPr>
            <w:r w:rsidRPr="00C57627">
              <w:rPr>
                <w:sz w:val="22"/>
                <w:szCs w:val="22"/>
              </w:rPr>
              <w:t>“Cultivar development typically requires upwards of 10 years and involves the evaluation of thousands of plants, resulting in the selection of one or very few final cultivars. Throughout breeding and seed production, selection is applied to eliminate off-types, which are those plants that show an unintended trait.”</w:t>
            </w:r>
          </w:p>
          <w:p w14:paraId="3FE02A3F" w14:textId="77777777" w:rsidR="0018238B" w:rsidRPr="00C57627" w:rsidRDefault="0018238B" w:rsidP="0018238B">
            <w:pPr>
              <w:rPr>
                <w:sz w:val="22"/>
                <w:szCs w:val="22"/>
              </w:rPr>
            </w:pPr>
          </w:p>
          <w:p w14:paraId="15C1768D" w14:textId="77777777" w:rsidR="0018238B" w:rsidRPr="00C57627" w:rsidRDefault="0018238B" w:rsidP="0018238B">
            <w:pPr>
              <w:rPr>
                <w:sz w:val="22"/>
                <w:szCs w:val="22"/>
              </w:rPr>
            </w:pPr>
            <w:r w:rsidRPr="00C57627">
              <w:rPr>
                <w:sz w:val="22"/>
                <w:szCs w:val="22"/>
              </w:rPr>
              <w:lastRenderedPageBreak/>
              <w:t>“The processing and preparation of foods and feeds may also play a role in managing the risks associated with genetic changes. For example, processing conditions that involve heat or pressure may significantly reduce the levels of toxins and/or anti-nutrients in the food or feed before consumption, so that any genetic changes that alter the levels of such compounds do not present a safety concern.”</w:t>
            </w:r>
          </w:p>
          <w:p w14:paraId="58F1E46B" w14:textId="46257390" w:rsidR="00593BC6" w:rsidRPr="00C658CD" w:rsidRDefault="00593BC6" w:rsidP="00EA105F">
            <w:pPr>
              <w:rPr>
                <w:sz w:val="22"/>
                <w:szCs w:val="22"/>
              </w:rPr>
            </w:pPr>
          </w:p>
        </w:tc>
      </w:tr>
      <w:tr w:rsidR="00D51C41" w:rsidRPr="00C658CD" w14:paraId="3E94F419" w14:textId="77777777" w:rsidTr="00135D96">
        <w:trPr>
          <w:cantSplit/>
          <w:trHeight w:val="233"/>
        </w:trPr>
        <w:tc>
          <w:tcPr>
            <w:tcW w:w="918" w:type="dxa"/>
          </w:tcPr>
          <w:p w14:paraId="44DCBC84" w14:textId="0ED0002E" w:rsidR="00D51C41" w:rsidRPr="00C658CD" w:rsidRDefault="00D51C41" w:rsidP="00D51C41">
            <w:pPr>
              <w:rPr>
                <w:sz w:val="22"/>
                <w:szCs w:val="22"/>
              </w:rPr>
            </w:pPr>
            <w:r>
              <w:rPr>
                <w:sz w:val="22"/>
                <w:szCs w:val="22"/>
              </w:rPr>
              <w:lastRenderedPageBreak/>
              <w:t>9</w:t>
            </w:r>
          </w:p>
        </w:tc>
        <w:tc>
          <w:tcPr>
            <w:tcW w:w="1125" w:type="dxa"/>
          </w:tcPr>
          <w:p w14:paraId="6338DD75" w14:textId="0EAA11BA" w:rsidR="00D51C41" w:rsidRPr="00C658CD" w:rsidRDefault="00D51C41" w:rsidP="00D51C41">
            <w:pPr>
              <w:rPr>
                <w:sz w:val="22"/>
                <w:szCs w:val="22"/>
              </w:rPr>
            </w:pPr>
            <w:r>
              <w:rPr>
                <w:sz w:val="22"/>
                <w:szCs w:val="22"/>
              </w:rPr>
              <w:t>40</w:t>
            </w:r>
          </w:p>
        </w:tc>
        <w:tc>
          <w:tcPr>
            <w:tcW w:w="8145" w:type="dxa"/>
            <w:gridSpan w:val="2"/>
          </w:tcPr>
          <w:p w14:paraId="1794B29D" w14:textId="4338F56C" w:rsidR="00D51C41" w:rsidRPr="00C658CD" w:rsidRDefault="00D51C41" w:rsidP="00D51C41">
            <w:pPr>
              <w:rPr>
                <w:sz w:val="22"/>
                <w:szCs w:val="22"/>
              </w:rPr>
            </w:pPr>
            <w:r>
              <w:rPr>
                <w:sz w:val="22"/>
                <w:szCs w:val="22"/>
              </w:rPr>
              <w:t xml:space="preserve">The word “off” </w:t>
            </w:r>
            <w:proofErr w:type="gramStart"/>
            <w:r>
              <w:rPr>
                <w:sz w:val="22"/>
                <w:szCs w:val="22"/>
              </w:rPr>
              <w:t>should be added</w:t>
            </w:r>
            <w:proofErr w:type="gramEnd"/>
            <w:r>
              <w:rPr>
                <w:sz w:val="22"/>
                <w:szCs w:val="22"/>
              </w:rPr>
              <w:t xml:space="preserve"> following the word “pressure” to fully realize the meaning of the sentence.</w:t>
            </w:r>
          </w:p>
        </w:tc>
      </w:tr>
      <w:tr w:rsidR="00804B50" w:rsidRPr="00C658CD" w14:paraId="1B286E0E" w14:textId="77777777" w:rsidTr="00135D96">
        <w:trPr>
          <w:cantSplit/>
          <w:trHeight w:val="233"/>
        </w:trPr>
        <w:tc>
          <w:tcPr>
            <w:tcW w:w="918" w:type="dxa"/>
          </w:tcPr>
          <w:p w14:paraId="7CF5480C" w14:textId="3282C5FD" w:rsidR="00804B50" w:rsidRDefault="00804B50" w:rsidP="00804B50">
            <w:pPr>
              <w:rPr>
                <w:sz w:val="22"/>
                <w:szCs w:val="22"/>
              </w:rPr>
            </w:pPr>
            <w:r>
              <w:rPr>
                <w:sz w:val="22"/>
                <w:szCs w:val="22"/>
              </w:rPr>
              <w:t>10</w:t>
            </w:r>
          </w:p>
        </w:tc>
        <w:tc>
          <w:tcPr>
            <w:tcW w:w="1125" w:type="dxa"/>
          </w:tcPr>
          <w:p w14:paraId="68D9EC2B" w14:textId="5DF2368D" w:rsidR="00804B50" w:rsidRDefault="00804B50" w:rsidP="00804B50">
            <w:pPr>
              <w:rPr>
                <w:sz w:val="22"/>
                <w:szCs w:val="22"/>
              </w:rPr>
            </w:pPr>
            <w:r>
              <w:rPr>
                <w:sz w:val="22"/>
                <w:szCs w:val="22"/>
              </w:rPr>
              <w:t>45</w:t>
            </w:r>
          </w:p>
        </w:tc>
        <w:tc>
          <w:tcPr>
            <w:tcW w:w="8145" w:type="dxa"/>
            <w:gridSpan w:val="2"/>
          </w:tcPr>
          <w:p w14:paraId="0B46188C" w14:textId="3023AF8B" w:rsidR="00804B50" w:rsidRDefault="00804B50" w:rsidP="00804B50">
            <w:pPr>
              <w:rPr>
                <w:sz w:val="22"/>
                <w:szCs w:val="22"/>
              </w:rPr>
            </w:pPr>
            <w:r>
              <w:rPr>
                <w:sz w:val="22"/>
                <w:szCs w:val="22"/>
              </w:rPr>
              <w:t xml:space="preserve">Missing period following “bacteria”. </w:t>
            </w:r>
          </w:p>
        </w:tc>
      </w:tr>
      <w:tr w:rsidR="00D51C41" w:rsidRPr="00C658CD" w14:paraId="5F23373A" w14:textId="77777777" w:rsidTr="00135D96">
        <w:trPr>
          <w:cantSplit/>
          <w:trHeight w:val="233"/>
        </w:trPr>
        <w:tc>
          <w:tcPr>
            <w:tcW w:w="918" w:type="dxa"/>
          </w:tcPr>
          <w:p w14:paraId="0AF0607B" w14:textId="54E0C983" w:rsidR="00D51C41" w:rsidRDefault="00D51C41" w:rsidP="00D51C41">
            <w:pPr>
              <w:rPr>
                <w:sz w:val="22"/>
                <w:szCs w:val="22"/>
              </w:rPr>
            </w:pPr>
            <w:r>
              <w:rPr>
                <w:sz w:val="22"/>
                <w:szCs w:val="22"/>
              </w:rPr>
              <w:t>11</w:t>
            </w:r>
          </w:p>
        </w:tc>
        <w:tc>
          <w:tcPr>
            <w:tcW w:w="1125" w:type="dxa"/>
          </w:tcPr>
          <w:p w14:paraId="42B20DB3" w14:textId="4E9F83A6" w:rsidR="00D51C41" w:rsidRDefault="00D51C41" w:rsidP="00D51C41">
            <w:pPr>
              <w:rPr>
                <w:sz w:val="22"/>
                <w:szCs w:val="22"/>
              </w:rPr>
            </w:pPr>
            <w:r>
              <w:rPr>
                <w:sz w:val="22"/>
                <w:szCs w:val="22"/>
              </w:rPr>
              <w:t>20</w:t>
            </w:r>
          </w:p>
        </w:tc>
        <w:tc>
          <w:tcPr>
            <w:tcW w:w="8145" w:type="dxa"/>
            <w:gridSpan w:val="2"/>
          </w:tcPr>
          <w:p w14:paraId="43C45CA6" w14:textId="588A6812" w:rsidR="00D51C41" w:rsidRDefault="00D51C41" w:rsidP="00D51C41">
            <w:pPr>
              <w:rPr>
                <w:sz w:val="22"/>
                <w:szCs w:val="22"/>
              </w:rPr>
            </w:pPr>
            <w:r>
              <w:rPr>
                <w:sz w:val="22"/>
                <w:szCs w:val="22"/>
              </w:rPr>
              <w:t xml:space="preserve">The word “topical” </w:t>
            </w:r>
            <w:proofErr w:type="gramStart"/>
            <w:r>
              <w:rPr>
                <w:sz w:val="22"/>
                <w:szCs w:val="22"/>
              </w:rPr>
              <w:t>is likely meant</w:t>
            </w:r>
            <w:proofErr w:type="gramEnd"/>
            <w:r>
              <w:rPr>
                <w:sz w:val="22"/>
                <w:szCs w:val="22"/>
              </w:rPr>
              <w:t xml:space="preserve"> to say “t</w:t>
            </w:r>
            <w:r>
              <w:rPr>
                <w:sz w:val="22"/>
                <w:szCs w:val="22"/>
                <w:u w:val="single"/>
              </w:rPr>
              <w:t>r</w:t>
            </w:r>
            <w:r>
              <w:rPr>
                <w:sz w:val="22"/>
                <w:szCs w:val="22"/>
              </w:rPr>
              <w:t>opical”.</w:t>
            </w:r>
          </w:p>
        </w:tc>
      </w:tr>
      <w:tr w:rsidR="00D51C41" w:rsidRPr="00C658CD" w14:paraId="5A0DBBE8" w14:textId="77777777" w:rsidTr="00135D96">
        <w:trPr>
          <w:cantSplit/>
          <w:trHeight w:val="233"/>
        </w:trPr>
        <w:tc>
          <w:tcPr>
            <w:tcW w:w="918" w:type="dxa"/>
          </w:tcPr>
          <w:p w14:paraId="26BF260A" w14:textId="664FCFFC" w:rsidR="00D51C41" w:rsidRDefault="00D51C41" w:rsidP="00D51C41">
            <w:pPr>
              <w:rPr>
                <w:sz w:val="22"/>
                <w:szCs w:val="22"/>
              </w:rPr>
            </w:pPr>
            <w:r>
              <w:rPr>
                <w:sz w:val="22"/>
                <w:szCs w:val="22"/>
              </w:rPr>
              <w:t>12</w:t>
            </w:r>
          </w:p>
        </w:tc>
        <w:tc>
          <w:tcPr>
            <w:tcW w:w="1125" w:type="dxa"/>
          </w:tcPr>
          <w:p w14:paraId="0E2307EE" w14:textId="1EEAD75B" w:rsidR="00D51C41" w:rsidRDefault="00D51C41" w:rsidP="00D51C41">
            <w:pPr>
              <w:rPr>
                <w:sz w:val="22"/>
                <w:szCs w:val="22"/>
              </w:rPr>
            </w:pPr>
            <w:r>
              <w:rPr>
                <w:sz w:val="22"/>
                <w:szCs w:val="22"/>
              </w:rPr>
              <w:t>23</w:t>
            </w:r>
          </w:p>
        </w:tc>
        <w:tc>
          <w:tcPr>
            <w:tcW w:w="8145" w:type="dxa"/>
            <w:gridSpan w:val="2"/>
          </w:tcPr>
          <w:p w14:paraId="70F3F513" w14:textId="32548B9C" w:rsidR="00D51C41" w:rsidRDefault="00D51C41" w:rsidP="00D51C41">
            <w:pPr>
              <w:rPr>
                <w:sz w:val="22"/>
                <w:szCs w:val="22"/>
              </w:rPr>
            </w:pPr>
            <w:r>
              <w:rPr>
                <w:sz w:val="22"/>
                <w:szCs w:val="22"/>
              </w:rPr>
              <w:t>Appears to be an incomplete sentence.</w:t>
            </w:r>
          </w:p>
        </w:tc>
      </w:tr>
      <w:tr w:rsidR="00D51C41" w:rsidRPr="00C658CD" w14:paraId="3D807ED0" w14:textId="77777777" w:rsidTr="00135D96">
        <w:trPr>
          <w:cantSplit/>
          <w:trHeight w:val="233"/>
        </w:trPr>
        <w:tc>
          <w:tcPr>
            <w:tcW w:w="918" w:type="dxa"/>
          </w:tcPr>
          <w:p w14:paraId="2211321D" w14:textId="09F04145" w:rsidR="00D51C41" w:rsidRDefault="00D51C41" w:rsidP="00D51C41">
            <w:pPr>
              <w:rPr>
                <w:sz w:val="22"/>
                <w:szCs w:val="22"/>
              </w:rPr>
            </w:pPr>
            <w:r>
              <w:rPr>
                <w:sz w:val="22"/>
                <w:szCs w:val="22"/>
              </w:rPr>
              <w:t>12</w:t>
            </w:r>
          </w:p>
        </w:tc>
        <w:tc>
          <w:tcPr>
            <w:tcW w:w="1125" w:type="dxa"/>
          </w:tcPr>
          <w:p w14:paraId="08BC4094" w14:textId="6104ABBD" w:rsidR="00D51C41" w:rsidRDefault="00D51C41" w:rsidP="00D51C41">
            <w:pPr>
              <w:rPr>
                <w:sz w:val="22"/>
                <w:szCs w:val="22"/>
              </w:rPr>
            </w:pPr>
            <w:r>
              <w:rPr>
                <w:sz w:val="22"/>
                <w:szCs w:val="22"/>
              </w:rPr>
              <w:t>40-45</w:t>
            </w:r>
          </w:p>
        </w:tc>
        <w:tc>
          <w:tcPr>
            <w:tcW w:w="8145" w:type="dxa"/>
            <w:gridSpan w:val="2"/>
          </w:tcPr>
          <w:p w14:paraId="39063087" w14:textId="0B3D49EE" w:rsidR="00D51C41" w:rsidRDefault="00D51C41" w:rsidP="00D51C41">
            <w:pPr>
              <w:rPr>
                <w:sz w:val="22"/>
                <w:szCs w:val="22"/>
              </w:rPr>
            </w:pPr>
            <w:r>
              <w:rPr>
                <w:sz w:val="22"/>
                <w:szCs w:val="22"/>
              </w:rPr>
              <w:t xml:space="preserve">Health Canada has engaged in a number of regulatory foresight exercises in the past on synthetic biology, and biotechnology more broadly, involving information gathering on the latest research and development activities in these areas that are aiming at commercial application. This has allowed us </w:t>
            </w:r>
            <w:proofErr w:type="gramStart"/>
            <w:r>
              <w:rPr>
                <w:sz w:val="22"/>
                <w:szCs w:val="22"/>
              </w:rPr>
              <w:t>to better determine</w:t>
            </w:r>
            <w:proofErr w:type="gramEnd"/>
            <w:r>
              <w:rPr>
                <w:sz w:val="22"/>
                <w:szCs w:val="22"/>
              </w:rPr>
              <w:t xml:space="preserve"> how effectively our current regulatory systems can address any risks and whether changes in policy, regulation or regulatory capacity may be required. Suggest adding text here encouraging regulatory agencies to conduct such regulatory foresight exercises on a regular basis.</w:t>
            </w:r>
          </w:p>
        </w:tc>
      </w:tr>
      <w:tr w:rsidR="00D51C41" w:rsidRPr="00C658CD" w14:paraId="71871B2C" w14:textId="77777777" w:rsidTr="00135D96">
        <w:trPr>
          <w:cantSplit/>
          <w:trHeight w:val="233"/>
        </w:trPr>
        <w:tc>
          <w:tcPr>
            <w:tcW w:w="918" w:type="dxa"/>
          </w:tcPr>
          <w:p w14:paraId="30139451" w14:textId="443B7548" w:rsidR="00D51C41" w:rsidRDefault="00D51C41" w:rsidP="00D51C41">
            <w:pPr>
              <w:rPr>
                <w:sz w:val="22"/>
                <w:szCs w:val="22"/>
              </w:rPr>
            </w:pPr>
            <w:r>
              <w:rPr>
                <w:sz w:val="22"/>
                <w:szCs w:val="22"/>
              </w:rPr>
              <w:t>19</w:t>
            </w:r>
          </w:p>
        </w:tc>
        <w:tc>
          <w:tcPr>
            <w:tcW w:w="1125" w:type="dxa"/>
          </w:tcPr>
          <w:p w14:paraId="7A2DC6CE" w14:textId="380F3122" w:rsidR="00D51C41" w:rsidRDefault="00D51C41" w:rsidP="00D51C41">
            <w:pPr>
              <w:rPr>
                <w:sz w:val="22"/>
                <w:szCs w:val="22"/>
              </w:rPr>
            </w:pPr>
            <w:r>
              <w:rPr>
                <w:sz w:val="22"/>
                <w:szCs w:val="22"/>
              </w:rPr>
              <w:t>31</w:t>
            </w:r>
          </w:p>
        </w:tc>
        <w:tc>
          <w:tcPr>
            <w:tcW w:w="8145" w:type="dxa"/>
            <w:gridSpan w:val="2"/>
          </w:tcPr>
          <w:p w14:paraId="4930D5CE" w14:textId="39DCC75C" w:rsidR="00D51C41" w:rsidRDefault="00D51C41" w:rsidP="00D51C41">
            <w:pPr>
              <w:rPr>
                <w:sz w:val="22"/>
                <w:szCs w:val="22"/>
              </w:rPr>
            </w:pPr>
            <w:r>
              <w:rPr>
                <w:sz w:val="22"/>
                <w:szCs w:val="22"/>
              </w:rPr>
              <w:t>It looks like the word “of” should be inserted between the words “populations” and “insects”.</w:t>
            </w:r>
          </w:p>
        </w:tc>
      </w:tr>
      <w:tr w:rsidR="00804B50" w:rsidRPr="00C658CD" w14:paraId="1F389C0C" w14:textId="77777777" w:rsidTr="00135D96">
        <w:trPr>
          <w:cantSplit/>
          <w:trHeight w:val="233"/>
        </w:trPr>
        <w:tc>
          <w:tcPr>
            <w:tcW w:w="918" w:type="dxa"/>
          </w:tcPr>
          <w:p w14:paraId="1794CFED" w14:textId="08983BE1" w:rsidR="00804B50" w:rsidRDefault="00804B50" w:rsidP="00804B50">
            <w:pPr>
              <w:rPr>
                <w:sz w:val="22"/>
                <w:szCs w:val="22"/>
              </w:rPr>
            </w:pPr>
            <w:r>
              <w:rPr>
                <w:sz w:val="22"/>
                <w:szCs w:val="22"/>
              </w:rPr>
              <w:t>20</w:t>
            </w:r>
          </w:p>
        </w:tc>
        <w:tc>
          <w:tcPr>
            <w:tcW w:w="1125" w:type="dxa"/>
          </w:tcPr>
          <w:p w14:paraId="42F96E2C" w14:textId="533DEB12" w:rsidR="00804B50" w:rsidRDefault="00804B50" w:rsidP="00804B50">
            <w:pPr>
              <w:rPr>
                <w:sz w:val="22"/>
                <w:szCs w:val="22"/>
              </w:rPr>
            </w:pPr>
            <w:r>
              <w:rPr>
                <w:sz w:val="22"/>
                <w:szCs w:val="22"/>
              </w:rPr>
              <w:t>10</w:t>
            </w:r>
          </w:p>
        </w:tc>
        <w:tc>
          <w:tcPr>
            <w:tcW w:w="8145" w:type="dxa"/>
            <w:gridSpan w:val="2"/>
          </w:tcPr>
          <w:p w14:paraId="760454DD" w14:textId="0970048F" w:rsidR="00804B50" w:rsidRDefault="00804B50" w:rsidP="00804B50">
            <w:pPr>
              <w:rPr>
                <w:sz w:val="22"/>
                <w:szCs w:val="22"/>
              </w:rPr>
            </w:pPr>
            <w:r>
              <w:rPr>
                <w:sz w:val="22"/>
                <w:szCs w:val="22"/>
              </w:rPr>
              <w:t xml:space="preserve">It looks like the word “in” </w:t>
            </w:r>
            <w:proofErr w:type="gramStart"/>
            <w:r>
              <w:rPr>
                <w:sz w:val="22"/>
                <w:szCs w:val="22"/>
              </w:rPr>
              <w:t>should be inserted</w:t>
            </w:r>
            <w:proofErr w:type="gramEnd"/>
            <w:r>
              <w:rPr>
                <w:sz w:val="22"/>
                <w:szCs w:val="22"/>
              </w:rPr>
              <w:t xml:space="preserve"> between the words “present” and “almost”.</w:t>
            </w:r>
          </w:p>
        </w:tc>
      </w:tr>
      <w:tr w:rsidR="00804B50" w:rsidRPr="00C658CD" w14:paraId="577650A6" w14:textId="77777777" w:rsidTr="00135D96">
        <w:trPr>
          <w:cantSplit/>
          <w:trHeight w:val="233"/>
        </w:trPr>
        <w:tc>
          <w:tcPr>
            <w:tcW w:w="918" w:type="dxa"/>
          </w:tcPr>
          <w:p w14:paraId="2E761776" w14:textId="2AD228BE" w:rsidR="00804B50" w:rsidRDefault="00804B50" w:rsidP="00804B50">
            <w:pPr>
              <w:rPr>
                <w:sz w:val="22"/>
                <w:szCs w:val="22"/>
              </w:rPr>
            </w:pPr>
            <w:r>
              <w:rPr>
                <w:sz w:val="22"/>
                <w:szCs w:val="22"/>
              </w:rPr>
              <w:t>27</w:t>
            </w:r>
          </w:p>
        </w:tc>
        <w:tc>
          <w:tcPr>
            <w:tcW w:w="1125" w:type="dxa"/>
          </w:tcPr>
          <w:p w14:paraId="036ED0C1" w14:textId="5B71DA09" w:rsidR="00804B50" w:rsidRDefault="00804B50" w:rsidP="00804B50">
            <w:pPr>
              <w:rPr>
                <w:sz w:val="22"/>
                <w:szCs w:val="22"/>
              </w:rPr>
            </w:pPr>
            <w:r>
              <w:rPr>
                <w:sz w:val="22"/>
                <w:szCs w:val="22"/>
              </w:rPr>
              <w:t xml:space="preserve">15 </w:t>
            </w:r>
          </w:p>
        </w:tc>
        <w:tc>
          <w:tcPr>
            <w:tcW w:w="8145" w:type="dxa"/>
            <w:gridSpan w:val="2"/>
          </w:tcPr>
          <w:p w14:paraId="4D4B2925" w14:textId="39C68361" w:rsidR="00804B50" w:rsidRDefault="00804B50" w:rsidP="00804B50">
            <w:pPr>
              <w:rPr>
                <w:sz w:val="22"/>
                <w:szCs w:val="22"/>
              </w:rPr>
            </w:pPr>
            <w:r>
              <w:rPr>
                <w:sz w:val="22"/>
                <w:szCs w:val="22"/>
              </w:rPr>
              <w:t>What does this first sentence mean? Vibrant but basic seems contradictory.</w:t>
            </w:r>
          </w:p>
        </w:tc>
      </w:tr>
      <w:tr w:rsidR="00804B50" w:rsidRPr="00C658CD" w14:paraId="67D46199" w14:textId="77777777" w:rsidTr="00135D96">
        <w:trPr>
          <w:cantSplit/>
          <w:trHeight w:val="233"/>
        </w:trPr>
        <w:tc>
          <w:tcPr>
            <w:tcW w:w="918" w:type="dxa"/>
          </w:tcPr>
          <w:p w14:paraId="44222BDF" w14:textId="03E58BB0" w:rsidR="00804B50" w:rsidRDefault="00804B50" w:rsidP="00804B50">
            <w:pPr>
              <w:rPr>
                <w:sz w:val="22"/>
                <w:szCs w:val="22"/>
              </w:rPr>
            </w:pPr>
            <w:r>
              <w:rPr>
                <w:sz w:val="22"/>
                <w:szCs w:val="22"/>
              </w:rPr>
              <w:t>31</w:t>
            </w:r>
          </w:p>
        </w:tc>
        <w:tc>
          <w:tcPr>
            <w:tcW w:w="1125" w:type="dxa"/>
          </w:tcPr>
          <w:p w14:paraId="6DF9EA5E" w14:textId="182C8035" w:rsidR="00804B50" w:rsidRDefault="00804B50" w:rsidP="00804B50">
            <w:pPr>
              <w:rPr>
                <w:sz w:val="22"/>
                <w:szCs w:val="22"/>
              </w:rPr>
            </w:pPr>
            <w:r>
              <w:rPr>
                <w:sz w:val="22"/>
                <w:szCs w:val="22"/>
              </w:rPr>
              <w:t>5-10</w:t>
            </w:r>
          </w:p>
        </w:tc>
        <w:tc>
          <w:tcPr>
            <w:tcW w:w="8145" w:type="dxa"/>
            <w:gridSpan w:val="2"/>
          </w:tcPr>
          <w:p w14:paraId="27A1089E" w14:textId="7E3F3D9A" w:rsidR="00804B50" w:rsidRDefault="00804B50" w:rsidP="00804B50">
            <w:pPr>
              <w:rPr>
                <w:sz w:val="22"/>
                <w:szCs w:val="22"/>
              </w:rPr>
            </w:pPr>
            <w:r>
              <w:rPr>
                <w:sz w:val="22"/>
                <w:szCs w:val="22"/>
              </w:rPr>
              <w:t xml:space="preserve">Cloning </w:t>
            </w:r>
            <w:proofErr w:type="gramStart"/>
            <w:r>
              <w:rPr>
                <w:sz w:val="22"/>
                <w:szCs w:val="22"/>
              </w:rPr>
              <w:t>is not typically considered</w:t>
            </w:r>
            <w:proofErr w:type="gramEnd"/>
            <w:r>
              <w:rPr>
                <w:sz w:val="22"/>
                <w:szCs w:val="22"/>
              </w:rPr>
              <w:t xml:space="preserve"> “synthetic biology”, so suggest re-considering the relevance of the example of the black-footed ferret presented here.</w:t>
            </w:r>
          </w:p>
        </w:tc>
      </w:tr>
      <w:tr w:rsidR="00804B50" w:rsidRPr="00C658CD" w14:paraId="79A4D0CF" w14:textId="77777777" w:rsidTr="00135D96">
        <w:trPr>
          <w:cantSplit/>
          <w:trHeight w:val="233"/>
        </w:trPr>
        <w:tc>
          <w:tcPr>
            <w:tcW w:w="918" w:type="dxa"/>
          </w:tcPr>
          <w:p w14:paraId="654B8D7D" w14:textId="7E47BD88" w:rsidR="00804B50" w:rsidRDefault="00804B50" w:rsidP="00804B50">
            <w:pPr>
              <w:rPr>
                <w:sz w:val="22"/>
                <w:szCs w:val="22"/>
              </w:rPr>
            </w:pPr>
            <w:r>
              <w:rPr>
                <w:sz w:val="22"/>
                <w:szCs w:val="22"/>
              </w:rPr>
              <w:t>31</w:t>
            </w:r>
          </w:p>
        </w:tc>
        <w:tc>
          <w:tcPr>
            <w:tcW w:w="1125" w:type="dxa"/>
          </w:tcPr>
          <w:p w14:paraId="1E7FEB40" w14:textId="213EFCAD" w:rsidR="00804B50" w:rsidRDefault="00804B50" w:rsidP="00804B50">
            <w:pPr>
              <w:rPr>
                <w:sz w:val="22"/>
                <w:szCs w:val="22"/>
              </w:rPr>
            </w:pPr>
            <w:r>
              <w:rPr>
                <w:sz w:val="22"/>
                <w:szCs w:val="22"/>
              </w:rPr>
              <w:t>25-26</w:t>
            </w:r>
          </w:p>
        </w:tc>
        <w:tc>
          <w:tcPr>
            <w:tcW w:w="8145" w:type="dxa"/>
            <w:gridSpan w:val="2"/>
          </w:tcPr>
          <w:p w14:paraId="08702C7A" w14:textId="77777777" w:rsidR="00804B50" w:rsidRPr="00C57627" w:rsidRDefault="00804B50" w:rsidP="0018238B">
            <w:pPr>
              <w:rPr>
                <w:sz w:val="22"/>
                <w:szCs w:val="22"/>
              </w:rPr>
            </w:pPr>
            <w:r w:rsidRPr="00C57627">
              <w:rPr>
                <w:sz w:val="22"/>
                <w:szCs w:val="22"/>
              </w:rPr>
              <w:t xml:space="preserve">“Using </w:t>
            </w:r>
            <w:proofErr w:type="spellStart"/>
            <w:r w:rsidRPr="00C57627">
              <w:rPr>
                <w:sz w:val="22"/>
                <w:szCs w:val="22"/>
              </w:rPr>
              <w:t>Cibus</w:t>
            </w:r>
            <w:proofErr w:type="spellEnd"/>
            <w:r w:rsidRPr="00C57627">
              <w:rPr>
                <w:sz w:val="22"/>
                <w:szCs w:val="22"/>
              </w:rPr>
              <w:t xml:space="preserve">’ Rapid Trait Development </w:t>
            </w:r>
            <w:proofErr w:type="spellStart"/>
            <w:r w:rsidRPr="00C57627">
              <w:rPr>
                <w:sz w:val="22"/>
                <w:szCs w:val="22"/>
              </w:rPr>
              <w:t>System</w:t>
            </w:r>
            <w:r w:rsidRPr="00C57627">
              <w:rPr>
                <w:sz w:val="22"/>
                <w:szCs w:val="22"/>
                <w:vertAlign w:val="superscript"/>
              </w:rPr>
              <w:t>TM</w:t>
            </w:r>
            <w:proofErr w:type="spellEnd"/>
            <w:r w:rsidRPr="00C57627">
              <w:rPr>
                <w:sz w:val="22"/>
                <w:szCs w:val="22"/>
              </w:rPr>
              <w:t xml:space="preserve"> (ODM), </w:t>
            </w:r>
            <w:r w:rsidRPr="00C57627">
              <w:rPr>
                <w:i/>
                <w:sz w:val="22"/>
                <w:szCs w:val="22"/>
              </w:rPr>
              <w:t xml:space="preserve">Brassica </w:t>
            </w:r>
            <w:proofErr w:type="spellStart"/>
            <w:r w:rsidRPr="00C57627">
              <w:rPr>
                <w:i/>
                <w:sz w:val="22"/>
                <w:szCs w:val="22"/>
              </w:rPr>
              <w:t>napus</w:t>
            </w:r>
            <w:proofErr w:type="spellEnd"/>
            <w:r w:rsidRPr="00C57627">
              <w:rPr>
                <w:sz w:val="22"/>
                <w:szCs w:val="22"/>
              </w:rPr>
              <w:t xml:space="preserve"> </w:t>
            </w:r>
            <w:proofErr w:type="spellStart"/>
            <w:r w:rsidRPr="00C57627">
              <w:rPr>
                <w:sz w:val="22"/>
                <w:szCs w:val="22"/>
              </w:rPr>
              <w:t>acetohydroxyacid</w:t>
            </w:r>
            <w:proofErr w:type="spellEnd"/>
            <w:r w:rsidRPr="00C57627">
              <w:rPr>
                <w:sz w:val="22"/>
                <w:szCs w:val="22"/>
              </w:rPr>
              <w:t xml:space="preserve"> synthase 26 was mutated to confer tolerance to </w:t>
            </w:r>
            <w:proofErr w:type="spellStart"/>
            <w:r w:rsidRPr="00C57627">
              <w:rPr>
                <w:sz w:val="22"/>
                <w:szCs w:val="22"/>
              </w:rPr>
              <w:t>imidazolinone</w:t>
            </w:r>
            <w:proofErr w:type="spellEnd"/>
            <w:r w:rsidRPr="00C57627">
              <w:rPr>
                <w:sz w:val="22"/>
                <w:szCs w:val="22"/>
              </w:rPr>
              <w:t xml:space="preserve"> herbicides (</w:t>
            </w:r>
            <w:proofErr w:type="spellStart"/>
            <w:r w:rsidRPr="00C57627">
              <w:rPr>
                <w:sz w:val="22"/>
                <w:szCs w:val="22"/>
              </w:rPr>
              <w:t>Cibus</w:t>
            </w:r>
            <w:proofErr w:type="spellEnd"/>
            <w:r w:rsidRPr="00C57627">
              <w:rPr>
                <w:sz w:val="22"/>
                <w:szCs w:val="22"/>
              </w:rPr>
              <w:t xml:space="preserve">, 2014; </w:t>
            </w:r>
            <w:proofErr w:type="spellStart"/>
            <w:r w:rsidRPr="00C57627">
              <w:rPr>
                <w:sz w:val="22"/>
                <w:szCs w:val="22"/>
              </w:rPr>
              <w:t>Schopke</w:t>
            </w:r>
            <w:proofErr w:type="spellEnd"/>
            <w:r w:rsidRPr="00C57627">
              <w:rPr>
                <w:sz w:val="22"/>
                <w:szCs w:val="22"/>
              </w:rPr>
              <w:t xml:space="preserve"> et al., 2008).”</w:t>
            </w:r>
          </w:p>
          <w:p w14:paraId="5266FD91" w14:textId="77777777" w:rsidR="00804B50" w:rsidRPr="00C57627" w:rsidRDefault="00804B50" w:rsidP="0018238B">
            <w:pPr>
              <w:rPr>
                <w:sz w:val="22"/>
                <w:szCs w:val="22"/>
              </w:rPr>
            </w:pPr>
          </w:p>
          <w:p w14:paraId="541A74D2" w14:textId="77777777" w:rsidR="00804B50" w:rsidRPr="00C57627" w:rsidRDefault="00804B50" w:rsidP="0018238B">
            <w:pPr>
              <w:rPr>
                <w:sz w:val="22"/>
                <w:szCs w:val="22"/>
              </w:rPr>
            </w:pPr>
            <w:r w:rsidRPr="00C57627">
              <w:rPr>
                <w:sz w:val="22"/>
                <w:szCs w:val="22"/>
              </w:rPr>
              <w:t xml:space="preserve">The description of a </w:t>
            </w:r>
            <w:proofErr w:type="spellStart"/>
            <w:r w:rsidRPr="00C57627">
              <w:rPr>
                <w:sz w:val="22"/>
                <w:szCs w:val="22"/>
              </w:rPr>
              <w:t>Cibus</w:t>
            </w:r>
            <w:proofErr w:type="spellEnd"/>
            <w:r w:rsidRPr="00C57627">
              <w:rPr>
                <w:sz w:val="22"/>
                <w:szCs w:val="22"/>
              </w:rPr>
              <w:t xml:space="preserve"> herbicide-tolerant canola product is inaccurate. </w:t>
            </w:r>
          </w:p>
          <w:p w14:paraId="160091A1" w14:textId="77777777" w:rsidR="00804B50" w:rsidRPr="00C57627" w:rsidRDefault="00804B50" w:rsidP="0018238B">
            <w:pPr>
              <w:rPr>
                <w:sz w:val="22"/>
                <w:szCs w:val="22"/>
              </w:rPr>
            </w:pPr>
          </w:p>
          <w:p w14:paraId="2EDF9233" w14:textId="77777777" w:rsidR="00804B50" w:rsidRPr="00C57627" w:rsidRDefault="00804B50" w:rsidP="0018238B">
            <w:pPr>
              <w:rPr>
                <w:sz w:val="22"/>
                <w:szCs w:val="22"/>
              </w:rPr>
            </w:pPr>
            <w:proofErr w:type="spellStart"/>
            <w:r w:rsidRPr="00C57627">
              <w:rPr>
                <w:sz w:val="22"/>
                <w:szCs w:val="22"/>
              </w:rPr>
              <w:t>Cibus</w:t>
            </w:r>
            <w:proofErr w:type="spellEnd"/>
            <w:r w:rsidRPr="00C57627">
              <w:rPr>
                <w:sz w:val="22"/>
                <w:szCs w:val="22"/>
              </w:rPr>
              <w:t xml:space="preserve">’ herbicide-tolerant canola Line 5715 contains a mutation that confers tolerance to </w:t>
            </w:r>
            <w:proofErr w:type="gramStart"/>
            <w:r w:rsidRPr="00C57627">
              <w:rPr>
                <w:sz w:val="22"/>
                <w:szCs w:val="22"/>
              </w:rPr>
              <w:t>a</w:t>
            </w:r>
            <w:proofErr w:type="gramEnd"/>
            <w:r w:rsidRPr="00C57627">
              <w:rPr>
                <w:sz w:val="22"/>
                <w:szCs w:val="22"/>
              </w:rPr>
              <w:t xml:space="preserve"> herbicide (sulfonylurea). While a gene editing technique known as oligonucleotide-directed mutagenesis (ODM) </w:t>
            </w:r>
            <w:proofErr w:type="gramStart"/>
            <w:r w:rsidRPr="00C57627">
              <w:rPr>
                <w:sz w:val="22"/>
                <w:szCs w:val="22"/>
              </w:rPr>
              <w:t>was used</w:t>
            </w:r>
            <w:proofErr w:type="gramEnd"/>
            <w:r w:rsidRPr="00C57627">
              <w:rPr>
                <w:sz w:val="22"/>
                <w:szCs w:val="22"/>
              </w:rPr>
              <w:t xml:space="preserve"> within the developer’s Rapid Trait Development System™ (</w:t>
            </w:r>
            <w:r w:rsidRPr="00C57627">
              <w:rPr>
                <w:bCs/>
                <w:sz w:val="22"/>
                <w:szCs w:val="22"/>
              </w:rPr>
              <w:t>RTDS</w:t>
            </w:r>
            <w:r w:rsidRPr="00C57627">
              <w:rPr>
                <w:sz w:val="22"/>
                <w:szCs w:val="22"/>
              </w:rPr>
              <w:t xml:space="preserve">™), the mutation used in Event 5715 arose independently through spontaneous </w:t>
            </w:r>
            <w:proofErr w:type="spellStart"/>
            <w:r w:rsidRPr="00C57627">
              <w:rPr>
                <w:sz w:val="22"/>
                <w:szCs w:val="22"/>
              </w:rPr>
              <w:t>somaclonal</w:t>
            </w:r>
            <w:proofErr w:type="spellEnd"/>
            <w:r w:rsidRPr="00C57627">
              <w:rPr>
                <w:sz w:val="22"/>
                <w:szCs w:val="22"/>
              </w:rPr>
              <w:t xml:space="preserve"> variation. </w:t>
            </w:r>
          </w:p>
          <w:p w14:paraId="51F877A8" w14:textId="77777777" w:rsidR="00804B50" w:rsidRPr="00C57627" w:rsidRDefault="00804B50" w:rsidP="0018238B">
            <w:pPr>
              <w:rPr>
                <w:sz w:val="22"/>
                <w:szCs w:val="22"/>
              </w:rPr>
            </w:pPr>
          </w:p>
          <w:p w14:paraId="44134CA9" w14:textId="77777777" w:rsidR="00804B50" w:rsidRDefault="00804B50" w:rsidP="0018238B">
            <w:pPr>
              <w:rPr>
                <w:sz w:val="22"/>
                <w:szCs w:val="22"/>
              </w:rPr>
            </w:pPr>
            <w:r w:rsidRPr="00C57627">
              <w:rPr>
                <w:sz w:val="22"/>
                <w:szCs w:val="22"/>
              </w:rPr>
              <w:t xml:space="preserve">More information about the approved product </w:t>
            </w:r>
            <w:proofErr w:type="gramStart"/>
            <w:r w:rsidRPr="00C57627">
              <w:rPr>
                <w:sz w:val="22"/>
                <w:szCs w:val="22"/>
              </w:rPr>
              <w:t>can be found</w:t>
            </w:r>
            <w:proofErr w:type="gramEnd"/>
            <w:r w:rsidRPr="00C57627">
              <w:rPr>
                <w:sz w:val="22"/>
                <w:szCs w:val="22"/>
              </w:rPr>
              <w:t xml:space="preserve"> in this </w:t>
            </w:r>
            <w:hyperlink r:id="rId7" w:history="1">
              <w:r w:rsidRPr="00C57627">
                <w:rPr>
                  <w:rStyle w:val="Hyperlink"/>
                  <w:bCs/>
                  <w:color w:val="0070C0"/>
                  <w:sz w:val="22"/>
                  <w:szCs w:val="22"/>
                </w:rPr>
                <w:t>published CFIA Decision Document (2013-100</w:t>
              </w:r>
            </w:hyperlink>
            <w:r w:rsidRPr="00C57627">
              <w:rPr>
                <w:bCs/>
                <w:color w:val="0070C0"/>
                <w:sz w:val="22"/>
                <w:szCs w:val="22"/>
              </w:rPr>
              <w:t>)</w:t>
            </w:r>
            <w:r w:rsidRPr="00C57627">
              <w:rPr>
                <w:sz w:val="22"/>
                <w:szCs w:val="22"/>
              </w:rPr>
              <w:t xml:space="preserve">, particularly under </w:t>
            </w:r>
            <w:r w:rsidRPr="00C57627">
              <w:rPr>
                <w:bCs/>
                <w:sz w:val="22"/>
                <w:szCs w:val="22"/>
              </w:rPr>
              <w:t xml:space="preserve">Section III. Description of the Novel Trait; 1. Development </w:t>
            </w:r>
            <w:proofErr w:type="gramStart"/>
            <w:r w:rsidRPr="00C57627">
              <w:rPr>
                <w:bCs/>
                <w:sz w:val="22"/>
                <w:szCs w:val="22"/>
              </w:rPr>
              <w:t>Method</w:t>
            </w:r>
            <w:r w:rsidRPr="00C57627">
              <w:rPr>
                <w:sz w:val="22"/>
                <w:szCs w:val="22"/>
              </w:rPr>
              <w:t>,</w:t>
            </w:r>
            <w:proofErr w:type="gramEnd"/>
            <w:r w:rsidRPr="00C57627">
              <w:rPr>
                <w:sz w:val="22"/>
                <w:szCs w:val="22"/>
              </w:rPr>
              <w:t xml:space="preserve"> and this </w:t>
            </w:r>
            <w:hyperlink r:id="rId8" w:history="1">
              <w:r w:rsidRPr="00C57627">
                <w:rPr>
                  <w:rStyle w:val="Hyperlink"/>
                  <w:bCs/>
                  <w:sz w:val="22"/>
                  <w:szCs w:val="22"/>
                </w:rPr>
                <w:t>published Health Canada document</w:t>
              </w:r>
            </w:hyperlink>
            <w:r w:rsidRPr="00C57627">
              <w:rPr>
                <w:sz w:val="22"/>
                <w:szCs w:val="22"/>
              </w:rPr>
              <w:t xml:space="preserve"> under </w:t>
            </w:r>
            <w:r w:rsidRPr="00C57627">
              <w:rPr>
                <w:bCs/>
                <w:sz w:val="22"/>
                <w:szCs w:val="22"/>
              </w:rPr>
              <w:t>2. Development of the Modified Plant</w:t>
            </w:r>
            <w:r w:rsidRPr="00C57627">
              <w:rPr>
                <w:sz w:val="22"/>
                <w:szCs w:val="22"/>
              </w:rPr>
              <w:t>.</w:t>
            </w:r>
          </w:p>
          <w:p w14:paraId="2C70ACE0" w14:textId="77777777" w:rsidR="00804B50" w:rsidRDefault="00804B50" w:rsidP="00804B50">
            <w:pPr>
              <w:rPr>
                <w:sz w:val="22"/>
                <w:szCs w:val="22"/>
              </w:rPr>
            </w:pPr>
          </w:p>
        </w:tc>
      </w:tr>
      <w:tr w:rsidR="00804B50" w:rsidRPr="00C658CD" w14:paraId="3519D3BC" w14:textId="77777777" w:rsidTr="00135D96">
        <w:trPr>
          <w:cantSplit/>
          <w:trHeight w:val="233"/>
        </w:trPr>
        <w:tc>
          <w:tcPr>
            <w:tcW w:w="918" w:type="dxa"/>
          </w:tcPr>
          <w:p w14:paraId="6D4ED0E1" w14:textId="4D6C63A4" w:rsidR="00804B50" w:rsidRDefault="00804B50" w:rsidP="00804B50">
            <w:pPr>
              <w:rPr>
                <w:sz w:val="22"/>
                <w:szCs w:val="22"/>
              </w:rPr>
            </w:pPr>
            <w:r>
              <w:rPr>
                <w:sz w:val="22"/>
                <w:szCs w:val="22"/>
              </w:rPr>
              <w:t>40</w:t>
            </w:r>
          </w:p>
        </w:tc>
        <w:tc>
          <w:tcPr>
            <w:tcW w:w="1125" w:type="dxa"/>
          </w:tcPr>
          <w:p w14:paraId="03B02B52" w14:textId="523766E4" w:rsidR="00804B50" w:rsidRDefault="00804B50" w:rsidP="00804B50">
            <w:pPr>
              <w:rPr>
                <w:sz w:val="22"/>
                <w:szCs w:val="22"/>
              </w:rPr>
            </w:pPr>
            <w:r>
              <w:rPr>
                <w:sz w:val="22"/>
                <w:szCs w:val="22"/>
              </w:rPr>
              <w:t>1</w:t>
            </w:r>
          </w:p>
        </w:tc>
        <w:tc>
          <w:tcPr>
            <w:tcW w:w="8145" w:type="dxa"/>
            <w:gridSpan w:val="2"/>
          </w:tcPr>
          <w:p w14:paraId="187AABB4" w14:textId="32730A47" w:rsidR="00804B50" w:rsidRPr="00C57627" w:rsidRDefault="00804B50" w:rsidP="00804B50">
            <w:pPr>
              <w:rPr>
                <w:sz w:val="22"/>
                <w:szCs w:val="22"/>
              </w:rPr>
            </w:pPr>
            <w:r>
              <w:rPr>
                <w:sz w:val="22"/>
                <w:szCs w:val="22"/>
              </w:rPr>
              <w:t xml:space="preserve">Formatting, “Lin et al. </w:t>
            </w:r>
            <w:proofErr w:type="gramStart"/>
            <w:r>
              <w:rPr>
                <w:sz w:val="22"/>
                <w:szCs w:val="22"/>
              </w:rPr>
              <w:t>( 2020</w:t>
            </w:r>
            <w:proofErr w:type="gramEnd"/>
            <w:r>
              <w:rPr>
                <w:sz w:val="22"/>
                <w:szCs w:val="22"/>
              </w:rPr>
              <w:t>)reviewed” has 2 instances of incorrect spacing.</w:t>
            </w:r>
          </w:p>
        </w:tc>
      </w:tr>
      <w:tr w:rsidR="00804B50" w:rsidRPr="00C658CD" w14:paraId="7165558A" w14:textId="77777777" w:rsidTr="00135D96">
        <w:trPr>
          <w:cantSplit/>
          <w:trHeight w:val="233"/>
        </w:trPr>
        <w:tc>
          <w:tcPr>
            <w:tcW w:w="918" w:type="dxa"/>
          </w:tcPr>
          <w:p w14:paraId="4E2266AF" w14:textId="025E0A48" w:rsidR="00804B50" w:rsidRDefault="00804B50" w:rsidP="00804B50">
            <w:pPr>
              <w:rPr>
                <w:sz w:val="22"/>
                <w:szCs w:val="22"/>
              </w:rPr>
            </w:pPr>
            <w:r>
              <w:rPr>
                <w:sz w:val="22"/>
                <w:szCs w:val="22"/>
              </w:rPr>
              <w:t>40</w:t>
            </w:r>
          </w:p>
        </w:tc>
        <w:tc>
          <w:tcPr>
            <w:tcW w:w="1125" w:type="dxa"/>
          </w:tcPr>
          <w:p w14:paraId="18CA2AB5" w14:textId="6CBD2061" w:rsidR="00804B50" w:rsidRDefault="00804B50" w:rsidP="00804B50">
            <w:pPr>
              <w:rPr>
                <w:sz w:val="22"/>
                <w:szCs w:val="22"/>
              </w:rPr>
            </w:pPr>
            <w:r>
              <w:rPr>
                <w:sz w:val="22"/>
                <w:szCs w:val="22"/>
              </w:rPr>
              <w:t>3</w:t>
            </w:r>
          </w:p>
        </w:tc>
        <w:tc>
          <w:tcPr>
            <w:tcW w:w="8145" w:type="dxa"/>
            <w:gridSpan w:val="2"/>
          </w:tcPr>
          <w:p w14:paraId="1ED52125" w14:textId="2E901A3C" w:rsidR="00804B50" w:rsidRPr="00C57627" w:rsidRDefault="00804B50" w:rsidP="00804B50">
            <w:pPr>
              <w:rPr>
                <w:sz w:val="22"/>
                <w:szCs w:val="22"/>
              </w:rPr>
            </w:pPr>
            <w:r>
              <w:rPr>
                <w:sz w:val="22"/>
                <w:szCs w:val="22"/>
              </w:rPr>
              <w:t>Formatting, incorrect spacing “</w:t>
            </w:r>
            <w:proofErr w:type="gramStart"/>
            <w:r>
              <w:rPr>
                <w:sz w:val="22"/>
                <w:szCs w:val="22"/>
              </w:rPr>
              <w:t>levels(</w:t>
            </w:r>
            <w:proofErr w:type="gramEnd"/>
            <w:r>
              <w:rPr>
                <w:sz w:val="22"/>
                <w:szCs w:val="22"/>
              </w:rPr>
              <w:t xml:space="preserve">Wan…” </w:t>
            </w:r>
          </w:p>
        </w:tc>
      </w:tr>
      <w:tr w:rsidR="00804B50" w:rsidRPr="00C658CD" w14:paraId="3F6868D1" w14:textId="77777777" w:rsidTr="00135D96">
        <w:trPr>
          <w:cantSplit/>
          <w:trHeight w:val="233"/>
        </w:trPr>
        <w:tc>
          <w:tcPr>
            <w:tcW w:w="918" w:type="dxa"/>
          </w:tcPr>
          <w:p w14:paraId="23C7122A" w14:textId="3370C710" w:rsidR="00804B50" w:rsidRDefault="00804B50" w:rsidP="00804B50">
            <w:pPr>
              <w:rPr>
                <w:sz w:val="22"/>
                <w:szCs w:val="22"/>
              </w:rPr>
            </w:pPr>
            <w:r>
              <w:rPr>
                <w:sz w:val="22"/>
                <w:szCs w:val="22"/>
              </w:rPr>
              <w:t>45</w:t>
            </w:r>
          </w:p>
        </w:tc>
        <w:tc>
          <w:tcPr>
            <w:tcW w:w="1125" w:type="dxa"/>
          </w:tcPr>
          <w:p w14:paraId="2710921A" w14:textId="08917839" w:rsidR="00804B50" w:rsidRDefault="00804B50" w:rsidP="00804B50">
            <w:pPr>
              <w:rPr>
                <w:sz w:val="22"/>
                <w:szCs w:val="22"/>
              </w:rPr>
            </w:pPr>
            <w:r>
              <w:rPr>
                <w:sz w:val="22"/>
                <w:szCs w:val="22"/>
              </w:rPr>
              <w:t>16-19</w:t>
            </w:r>
          </w:p>
        </w:tc>
        <w:tc>
          <w:tcPr>
            <w:tcW w:w="8145" w:type="dxa"/>
            <w:gridSpan w:val="2"/>
          </w:tcPr>
          <w:p w14:paraId="4FBDDA27" w14:textId="77777777" w:rsidR="00804B50" w:rsidRPr="00C57627" w:rsidRDefault="00804B50" w:rsidP="0018238B">
            <w:pPr>
              <w:rPr>
                <w:sz w:val="22"/>
                <w:szCs w:val="22"/>
              </w:rPr>
            </w:pPr>
            <w:r w:rsidRPr="00C57627">
              <w:rPr>
                <w:sz w:val="22"/>
                <w:szCs w:val="22"/>
              </w:rPr>
              <w:t>“ Conversely, the cause of some of this imprecision is also being exploited by developers to intentionally modify more than one related sequence (with less than 100 percent sequence identity) in attempts to modify different alleles or homologous genes in the host organism at the same time (</w:t>
            </w:r>
            <w:proofErr w:type="spellStart"/>
            <w:r w:rsidRPr="00C57627">
              <w:rPr>
                <w:sz w:val="22"/>
                <w:szCs w:val="22"/>
              </w:rPr>
              <w:t>Lema</w:t>
            </w:r>
            <w:proofErr w:type="spellEnd"/>
            <w:r w:rsidRPr="00C57627">
              <w:rPr>
                <w:sz w:val="22"/>
                <w:szCs w:val="22"/>
              </w:rPr>
              <w:t>, 2021)”</w:t>
            </w:r>
          </w:p>
          <w:p w14:paraId="4166F3E4" w14:textId="77777777" w:rsidR="00804B50" w:rsidRPr="00C57627" w:rsidRDefault="00804B50" w:rsidP="0018238B">
            <w:pPr>
              <w:rPr>
                <w:sz w:val="22"/>
                <w:szCs w:val="22"/>
              </w:rPr>
            </w:pPr>
          </w:p>
          <w:p w14:paraId="25A756FC" w14:textId="77777777" w:rsidR="00804B50" w:rsidRDefault="00804B50" w:rsidP="0018238B">
            <w:pPr>
              <w:rPr>
                <w:sz w:val="22"/>
                <w:szCs w:val="22"/>
              </w:rPr>
            </w:pPr>
            <w:r w:rsidRPr="00C57627">
              <w:rPr>
                <w:sz w:val="22"/>
                <w:szCs w:val="22"/>
              </w:rPr>
              <w:t xml:space="preserve">The </w:t>
            </w:r>
            <w:proofErr w:type="spellStart"/>
            <w:r w:rsidRPr="00C57627">
              <w:rPr>
                <w:sz w:val="22"/>
                <w:szCs w:val="22"/>
              </w:rPr>
              <w:t>Lema</w:t>
            </w:r>
            <w:proofErr w:type="spellEnd"/>
            <w:r w:rsidRPr="00C57627">
              <w:rPr>
                <w:sz w:val="22"/>
                <w:szCs w:val="22"/>
              </w:rPr>
              <w:t xml:space="preserve"> 2021 paper is cited in the report, but there is no discussion on the methods proposed within to detect and regulate off-target DNA changes following genome editing:  Bioinformatics identification of potential off target sites can be combined with whole genome sequencing (or directed sequencing) to confidently identify both small genetic changes and larger insertions or rearrangements.</w:t>
            </w:r>
          </w:p>
          <w:p w14:paraId="41C1B5CE" w14:textId="77777777" w:rsidR="00804B50" w:rsidRDefault="00804B50" w:rsidP="00804B50">
            <w:pPr>
              <w:rPr>
                <w:sz w:val="22"/>
                <w:szCs w:val="22"/>
              </w:rPr>
            </w:pPr>
          </w:p>
        </w:tc>
      </w:tr>
      <w:tr w:rsidR="00804B50" w:rsidRPr="00C658CD" w14:paraId="6113E01A" w14:textId="77777777" w:rsidTr="00135D96">
        <w:trPr>
          <w:cantSplit/>
          <w:trHeight w:val="233"/>
        </w:trPr>
        <w:tc>
          <w:tcPr>
            <w:tcW w:w="918" w:type="dxa"/>
          </w:tcPr>
          <w:p w14:paraId="5E56F5FC" w14:textId="1FC0BD44" w:rsidR="00804B50" w:rsidRDefault="00804B50" w:rsidP="00804B50">
            <w:pPr>
              <w:rPr>
                <w:sz w:val="22"/>
                <w:szCs w:val="22"/>
              </w:rPr>
            </w:pPr>
            <w:r>
              <w:rPr>
                <w:sz w:val="22"/>
                <w:szCs w:val="22"/>
              </w:rPr>
              <w:t>48</w:t>
            </w:r>
          </w:p>
        </w:tc>
        <w:tc>
          <w:tcPr>
            <w:tcW w:w="1125" w:type="dxa"/>
          </w:tcPr>
          <w:p w14:paraId="4927B816" w14:textId="4029AAA0" w:rsidR="00804B50" w:rsidRDefault="00804B50" w:rsidP="00804B50">
            <w:pPr>
              <w:rPr>
                <w:sz w:val="22"/>
                <w:szCs w:val="22"/>
              </w:rPr>
            </w:pPr>
            <w:r>
              <w:rPr>
                <w:sz w:val="22"/>
                <w:szCs w:val="22"/>
              </w:rPr>
              <w:t>39-43</w:t>
            </w:r>
          </w:p>
        </w:tc>
        <w:tc>
          <w:tcPr>
            <w:tcW w:w="8145" w:type="dxa"/>
            <w:gridSpan w:val="2"/>
          </w:tcPr>
          <w:p w14:paraId="19839C8F" w14:textId="77777777" w:rsidR="00804B50" w:rsidRPr="00C57627" w:rsidRDefault="00804B50" w:rsidP="0018238B">
            <w:pPr>
              <w:rPr>
                <w:sz w:val="22"/>
                <w:szCs w:val="22"/>
              </w:rPr>
            </w:pPr>
            <w:proofErr w:type="gramStart"/>
            <w:r w:rsidRPr="00C57627">
              <w:rPr>
                <w:sz w:val="22"/>
                <w:szCs w:val="22"/>
              </w:rPr>
              <w:t>“Society as a whole therefore has a key role to play in helping decision-makers and regulators better define specific protection goals (or “assessment endpoints”) i.e. the things that society doesn’t want harmed (Section 6.), that then dictates the characteristics of new products or technologies from synthetic biology to be assessed both scientifically (Craig et al., 2017) and socio-economically (Secretariat of the Convention on Biological Diversity, 2018).”</w:t>
            </w:r>
            <w:proofErr w:type="gramEnd"/>
            <w:r w:rsidRPr="00C57627">
              <w:rPr>
                <w:sz w:val="22"/>
                <w:szCs w:val="22"/>
              </w:rPr>
              <w:t xml:space="preserve">  </w:t>
            </w:r>
          </w:p>
          <w:p w14:paraId="6919EB05" w14:textId="77777777" w:rsidR="00804B50" w:rsidRPr="00C57627" w:rsidRDefault="00804B50" w:rsidP="0018238B">
            <w:pPr>
              <w:rPr>
                <w:sz w:val="22"/>
                <w:szCs w:val="22"/>
              </w:rPr>
            </w:pPr>
          </w:p>
          <w:p w14:paraId="225A0D30" w14:textId="77777777" w:rsidR="00804B50" w:rsidRPr="00C57627" w:rsidRDefault="00804B50" w:rsidP="0018238B">
            <w:pPr>
              <w:rPr>
                <w:sz w:val="22"/>
                <w:szCs w:val="22"/>
              </w:rPr>
            </w:pPr>
            <w:r w:rsidRPr="00C57627">
              <w:rPr>
                <w:sz w:val="22"/>
                <w:szCs w:val="22"/>
              </w:rPr>
              <w:t xml:space="preserve">Although society as a whole can help decision makers and regulators better define protection goals, please note the scope of Article 26* of the Cartagena Protocol, where Parties may take into account Socio-economic considerations (SECs): </w:t>
            </w:r>
          </w:p>
          <w:p w14:paraId="73B8B344" w14:textId="77777777" w:rsidR="00804B50" w:rsidRPr="00C57627" w:rsidRDefault="00804B50" w:rsidP="0018238B">
            <w:pPr>
              <w:pStyle w:val="ListParagraph"/>
              <w:numPr>
                <w:ilvl w:val="0"/>
                <w:numId w:val="1"/>
              </w:numPr>
              <w:rPr>
                <w:rFonts w:ascii="Times New Roman" w:hAnsi="Times New Roman" w:cs="Times New Roman"/>
              </w:rPr>
            </w:pPr>
            <w:r w:rsidRPr="00C57627">
              <w:rPr>
                <w:rFonts w:ascii="Times New Roman" w:hAnsi="Times New Roman" w:cs="Times New Roman"/>
              </w:rPr>
              <w:t>arising from the impact of LMOs,</w:t>
            </w:r>
          </w:p>
          <w:p w14:paraId="0FC226D3" w14:textId="77777777" w:rsidR="00804B50" w:rsidRPr="00C57627" w:rsidRDefault="00804B50" w:rsidP="0018238B">
            <w:pPr>
              <w:pStyle w:val="ListParagraph"/>
              <w:numPr>
                <w:ilvl w:val="0"/>
                <w:numId w:val="1"/>
              </w:numPr>
              <w:rPr>
                <w:rFonts w:ascii="Times New Roman" w:hAnsi="Times New Roman" w:cs="Times New Roman"/>
              </w:rPr>
            </w:pPr>
            <w:r w:rsidRPr="00C57627">
              <w:rPr>
                <w:rFonts w:ascii="Times New Roman" w:hAnsi="Times New Roman" w:cs="Times New Roman"/>
              </w:rPr>
              <w:t>limited to the conservation and sustainable use of biological diversity</w:t>
            </w:r>
          </w:p>
          <w:p w14:paraId="26582E84" w14:textId="77777777" w:rsidR="00804B50" w:rsidRPr="00C57627" w:rsidRDefault="00804B50" w:rsidP="0018238B">
            <w:pPr>
              <w:pStyle w:val="ListParagraph"/>
              <w:numPr>
                <w:ilvl w:val="0"/>
                <w:numId w:val="1"/>
              </w:numPr>
              <w:rPr>
                <w:rFonts w:ascii="Times New Roman" w:hAnsi="Times New Roman" w:cs="Times New Roman"/>
              </w:rPr>
            </w:pPr>
            <w:r w:rsidRPr="00C57627">
              <w:rPr>
                <w:rFonts w:ascii="Times New Roman" w:hAnsi="Times New Roman" w:cs="Times New Roman"/>
              </w:rPr>
              <w:t>consistent with international obligations</w:t>
            </w:r>
          </w:p>
          <w:p w14:paraId="1FFD4AD5" w14:textId="77777777" w:rsidR="00804B50" w:rsidRPr="00C57627" w:rsidRDefault="00804B50" w:rsidP="0018238B">
            <w:pPr>
              <w:rPr>
                <w:sz w:val="22"/>
                <w:szCs w:val="22"/>
              </w:rPr>
            </w:pPr>
            <w:r w:rsidRPr="00C57627">
              <w:rPr>
                <w:sz w:val="22"/>
                <w:szCs w:val="22"/>
              </w:rPr>
              <w:t xml:space="preserve">SECs could influence risk management, but the assessment of SECs should not be part of the risk assessment process, which </w:t>
            </w:r>
            <w:proofErr w:type="gramStart"/>
            <w:r w:rsidRPr="00C57627">
              <w:rPr>
                <w:sz w:val="22"/>
                <w:szCs w:val="22"/>
              </w:rPr>
              <w:t>should be based</w:t>
            </w:r>
            <w:proofErr w:type="gramEnd"/>
            <w:r w:rsidRPr="00C57627">
              <w:rPr>
                <w:sz w:val="22"/>
                <w:szCs w:val="22"/>
              </w:rPr>
              <w:t xml:space="preserve"> in science. The use of non-science based approaches to evaluating SEC of LMOs, if applied exclusively in risk assessments, could lead to an inconsistency with WTO obligations. </w:t>
            </w:r>
          </w:p>
          <w:p w14:paraId="532C8ECA" w14:textId="77777777" w:rsidR="00804B50" w:rsidRPr="00C57627" w:rsidRDefault="00804B50" w:rsidP="0018238B">
            <w:pPr>
              <w:rPr>
                <w:sz w:val="22"/>
                <w:szCs w:val="22"/>
              </w:rPr>
            </w:pPr>
          </w:p>
          <w:p w14:paraId="6F6ECB2C" w14:textId="77777777" w:rsidR="00804B50" w:rsidRPr="00C57627" w:rsidRDefault="00804B50" w:rsidP="0018238B">
            <w:pPr>
              <w:rPr>
                <w:sz w:val="22"/>
                <w:szCs w:val="22"/>
              </w:rPr>
            </w:pPr>
            <w:r w:rsidRPr="00C57627">
              <w:rPr>
                <w:sz w:val="22"/>
                <w:szCs w:val="22"/>
              </w:rPr>
              <w:t>*Article 26</w:t>
            </w:r>
          </w:p>
          <w:p w14:paraId="0875577D" w14:textId="77777777" w:rsidR="00804B50" w:rsidRDefault="00804B50" w:rsidP="0018238B">
            <w:pPr>
              <w:rPr>
                <w:sz w:val="22"/>
                <w:szCs w:val="22"/>
              </w:rPr>
            </w:pPr>
            <w:r w:rsidRPr="00C57627">
              <w:rPr>
                <w:sz w:val="22"/>
                <w:szCs w:val="22"/>
              </w:rPr>
              <w:t>The parties, in reaching a decision on import under this Protocol or under its domestic measures implementing the Protocol, may take into account, consistent with their international obligations, socio-economic considerations arising from the impact of LMOs on the conservation and sustainable use of biological diversity, especially with regard to the value of biological diversity to indigenous and local communities.</w:t>
            </w:r>
          </w:p>
          <w:p w14:paraId="13CE0148" w14:textId="77777777" w:rsidR="00804B50" w:rsidRDefault="00804B50" w:rsidP="00804B50">
            <w:pPr>
              <w:rPr>
                <w:sz w:val="22"/>
                <w:szCs w:val="22"/>
              </w:rPr>
            </w:pPr>
          </w:p>
        </w:tc>
      </w:tr>
      <w:tr w:rsidR="00804B50" w:rsidRPr="00B30682" w14:paraId="30B205E3" w14:textId="77777777" w:rsidTr="00135D96">
        <w:trPr>
          <w:cantSplit/>
          <w:trHeight w:val="233"/>
        </w:trPr>
        <w:tc>
          <w:tcPr>
            <w:tcW w:w="918" w:type="dxa"/>
          </w:tcPr>
          <w:p w14:paraId="4AC04E5F" w14:textId="1FBA79C5" w:rsidR="00804B50" w:rsidRDefault="00804B50" w:rsidP="00804B50">
            <w:pPr>
              <w:rPr>
                <w:sz w:val="22"/>
                <w:szCs w:val="22"/>
              </w:rPr>
            </w:pPr>
            <w:r>
              <w:rPr>
                <w:sz w:val="22"/>
                <w:szCs w:val="22"/>
              </w:rPr>
              <w:t>51</w:t>
            </w:r>
          </w:p>
        </w:tc>
        <w:tc>
          <w:tcPr>
            <w:tcW w:w="1125" w:type="dxa"/>
          </w:tcPr>
          <w:p w14:paraId="4E8B7198" w14:textId="4FDE4B6A" w:rsidR="00804B50" w:rsidRDefault="00804B50" w:rsidP="00804B50">
            <w:pPr>
              <w:rPr>
                <w:sz w:val="22"/>
                <w:szCs w:val="22"/>
              </w:rPr>
            </w:pPr>
            <w:r>
              <w:rPr>
                <w:sz w:val="22"/>
                <w:szCs w:val="22"/>
              </w:rPr>
              <w:t>40</w:t>
            </w:r>
          </w:p>
        </w:tc>
        <w:tc>
          <w:tcPr>
            <w:tcW w:w="8145" w:type="dxa"/>
            <w:gridSpan w:val="2"/>
          </w:tcPr>
          <w:p w14:paraId="5691C150" w14:textId="1DFFFAF9" w:rsidR="00804B50" w:rsidRDefault="00804B50" w:rsidP="00804B50">
            <w:pPr>
              <w:rPr>
                <w:sz w:val="22"/>
                <w:szCs w:val="22"/>
              </w:rPr>
            </w:pPr>
            <w:r>
              <w:rPr>
                <w:sz w:val="22"/>
                <w:szCs w:val="22"/>
              </w:rPr>
              <w:t>Double closed parentheses at the end of the line.</w:t>
            </w:r>
          </w:p>
        </w:tc>
      </w:tr>
      <w:tr w:rsidR="00804B50" w:rsidRPr="00B30682" w14:paraId="099682DD" w14:textId="77777777" w:rsidTr="00135D96">
        <w:trPr>
          <w:cantSplit/>
          <w:trHeight w:val="233"/>
        </w:trPr>
        <w:tc>
          <w:tcPr>
            <w:tcW w:w="918" w:type="dxa"/>
          </w:tcPr>
          <w:p w14:paraId="5998517F" w14:textId="004BF7A8" w:rsidR="00804B50" w:rsidRDefault="00804B50" w:rsidP="00804B50">
            <w:pPr>
              <w:rPr>
                <w:sz w:val="22"/>
                <w:szCs w:val="22"/>
              </w:rPr>
            </w:pPr>
            <w:r>
              <w:rPr>
                <w:sz w:val="22"/>
                <w:szCs w:val="22"/>
              </w:rPr>
              <w:t>52</w:t>
            </w:r>
          </w:p>
        </w:tc>
        <w:tc>
          <w:tcPr>
            <w:tcW w:w="1125" w:type="dxa"/>
          </w:tcPr>
          <w:p w14:paraId="437B5E43" w14:textId="7D68894C" w:rsidR="00804B50" w:rsidRDefault="00804B50" w:rsidP="00804B50">
            <w:pPr>
              <w:rPr>
                <w:sz w:val="22"/>
                <w:szCs w:val="22"/>
              </w:rPr>
            </w:pPr>
            <w:r>
              <w:rPr>
                <w:sz w:val="22"/>
                <w:szCs w:val="22"/>
              </w:rPr>
              <w:t>16-17</w:t>
            </w:r>
          </w:p>
        </w:tc>
        <w:tc>
          <w:tcPr>
            <w:tcW w:w="8145" w:type="dxa"/>
            <w:gridSpan w:val="2"/>
          </w:tcPr>
          <w:p w14:paraId="6EDC041B" w14:textId="2E681B54" w:rsidR="00804B50" w:rsidRDefault="00804B50" w:rsidP="00804B50">
            <w:pPr>
              <w:rPr>
                <w:sz w:val="22"/>
                <w:szCs w:val="22"/>
              </w:rPr>
            </w:pPr>
            <w:r>
              <w:rPr>
                <w:sz w:val="22"/>
                <w:szCs w:val="22"/>
              </w:rPr>
              <w:t xml:space="preserve">How did they </w:t>
            </w:r>
            <w:proofErr w:type="gramStart"/>
            <w:r>
              <w:rPr>
                <w:sz w:val="22"/>
                <w:szCs w:val="22"/>
              </w:rPr>
              <w:t>come to the conclusion</w:t>
            </w:r>
            <w:proofErr w:type="gramEnd"/>
            <w:r>
              <w:rPr>
                <w:sz w:val="22"/>
                <w:szCs w:val="22"/>
              </w:rPr>
              <w:t xml:space="preserve">? Brief reasoning would help clarify, as previous lines indicate that the effect of synthetic alternatives are not clear </w:t>
            </w:r>
            <w:proofErr w:type="gramStart"/>
            <w:r>
              <w:rPr>
                <w:sz w:val="22"/>
                <w:szCs w:val="22"/>
              </w:rPr>
              <w:t>with regards to</w:t>
            </w:r>
            <w:proofErr w:type="gramEnd"/>
            <w:r>
              <w:rPr>
                <w:sz w:val="22"/>
                <w:szCs w:val="22"/>
              </w:rPr>
              <w:t xml:space="preserve"> the impacts on poaching.</w:t>
            </w:r>
          </w:p>
        </w:tc>
      </w:tr>
      <w:tr w:rsidR="00804B50" w:rsidRPr="00B30682" w14:paraId="1C656F45" w14:textId="77777777" w:rsidTr="00135D96">
        <w:trPr>
          <w:cantSplit/>
          <w:trHeight w:val="233"/>
        </w:trPr>
        <w:tc>
          <w:tcPr>
            <w:tcW w:w="918" w:type="dxa"/>
          </w:tcPr>
          <w:p w14:paraId="73652C5C" w14:textId="5140F8FE" w:rsidR="00804B50" w:rsidRPr="00C658CD" w:rsidRDefault="00804B50" w:rsidP="00EA105F">
            <w:pPr>
              <w:rPr>
                <w:sz w:val="22"/>
                <w:szCs w:val="22"/>
              </w:rPr>
            </w:pPr>
            <w:r>
              <w:rPr>
                <w:sz w:val="22"/>
                <w:szCs w:val="22"/>
              </w:rPr>
              <w:t>57</w:t>
            </w:r>
          </w:p>
        </w:tc>
        <w:tc>
          <w:tcPr>
            <w:tcW w:w="1125" w:type="dxa"/>
          </w:tcPr>
          <w:p w14:paraId="0B63B7FE" w14:textId="5A047A90" w:rsidR="00804B50" w:rsidRPr="00C658CD" w:rsidRDefault="00804B50" w:rsidP="00EA105F">
            <w:pPr>
              <w:rPr>
                <w:sz w:val="22"/>
                <w:szCs w:val="22"/>
              </w:rPr>
            </w:pPr>
            <w:r>
              <w:rPr>
                <w:sz w:val="22"/>
                <w:szCs w:val="22"/>
              </w:rPr>
              <w:t>44-45</w:t>
            </w:r>
          </w:p>
        </w:tc>
        <w:tc>
          <w:tcPr>
            <w:tcW w:w="8145" w:type="dxa"/>
            <w:gridSpan w:val="2"/>
          </w:tcPr>
          <w:p w14:paraId="0B96346A" w14:textId="78DECF6F" w:rsidR="00804B50" w:rsidRPr="00F86F63" w:rsidRDefault="00804B50" w:rsidP="0018238B">
            <w:pPr>
              <w:rPr>
                <w:sz w:val="22"/>
                <w:szCs w:val="22"/>
              </w:rPr>
            </w:pPr>
            <w:r>
              <w:rPr>
                <w:sz w:val="22"/>
                <w:szCs w:val="22"/>
              </w:rPr>
              <w:t>Suggest the sentence be re-written as follows: “S</w:t>
            </w:r>
            <w:r>
              <w:rPr>
                <w:rStyle w:val="fontstyle01"/>
              </w:rPr>
              <w:t>ome considerations regarding risk assessment for three synthetic biology supported</w:t>
            </w:r>
            <w:r>
              <w:rPr>
                <w:rStyle w:val="fontstyle21"/>
              </w:rPr>
              <w:t xml:space="preserve"> </w:t>
            </w:r>
            <w:r>
              <w:rPr>
                <w:rStyle w:val="fontstyle01"/>
              </w:rPr>
              <w:t>technologies that have received considerable regulatory attention to date are presented below.”</w:t>
            </w:r>
          </w:p>
        </w:tc>
      </w:tr>
      <w:tr w:rsidR="00804B50" w:rsidRPr="00B30682" w14:paraId="3A23ED2B" w14:textId="77777777" w:rsidTr="00135D96">
        <w:trPr>
          <w:cantSplit/>
          <w:trHeight w:val="233"/>
        </w:trPr>
        <w:tc>
          <w:tcPr>
            <w:tcW w:w="918" w:type="dxa"/>
          </w:tcPr>
          <w:p w14:paraId="7D3E0353" w14:textId="30CB9857" w:rsidR="00804B50" w:rsidRDefault="00804B50" w:rsidP="00EA105F">
            <w:pPr>
              <w:rPr>
                <w:sz w:val="22"/>
                <w:szCs w:val="22"/>
              </w:rPr>
            </w:pPr>
            <w:r>
              <w:rPr>
                <w:sz w:val="22"/>
                <w:szCs w:val="22"/>
              </w:rPr>
              <w:t>59</w:t>
            </w:r>
          </w:p>
        </w:tc>
        <w:tc>
          <w:tcPr>
            <w:tcW w:w="1125" w:type="dxa"/>
          </w:tcPr>
          <w:p w14:paraId="4F1278E5" w14:textId="52975298" w:rsidR="00804B50" w:rsidRDefault="00804B50" w:rsidP="00EA105F">
            <w:pPr>
              <w:rPr>
                <w:sz w:val="22"/>
                <w:szCs w:val="22"/>
              </w:rPr>
            </w:pPr>
            <w:r>
              <w:rPr>
                <w:sz w:val="22"/>
                <w:szCs w:val="22"/>
              </w:rPr>
              <w:t>10</w:t>
            </w:r>
          </w:p>
        </w:tc>
        <w:tc>
          <w:tcPr>
            <w:tcW w:w="8145" w:type="dxa"/>
            <w:gridSpan w:val="2"/>
          </w:tcPr>
          <w:p w14:paraId="12B4B8D8" w14:textId="12486E6F" w:rsidR="00804B50" w:rsidRPr="00C57627" w:rsidRDefault="00804B50" w:rsidP="0018238B">
            <w:pPr>
              <w:rPr>
                <w:sz w:val="22"/>
                <w:szCs w:val="22"/>
              </w:rPr>
            </w:pPr>
            <w:r>
              <w:rPr>
                <w:sz w:val="22"/>
                <w:szCs w:val="22"/>
              </w:rPr>
              <w:t xml:space="preserve">The word “breeding” </w:t>
            </w:r>
            <w:proofErr w:type="gramStart"/>
            <w:r>
              <w:rPr>
                <w:sz w:val="22"/>
                <w:szCs w:val="22"/>
              </w:rPr>
              <w:t>was likely meant</w:t>
            </w:r>
            <w:proofErr w:type="gramEnd"/>
            <w:r>
              <w:rPr>
                <w:sz w:val="22"/>
                <w:szCs w:val="22"/>
              </w:rPr>
              <w:t xml:space="preserve"> instead of “breading”.</w:t>
            </w:r>
          </w:p>
        </w:tc>
      </w:tr>
      <w:tr w:rsidR="00804B50" w:rsidRPr="00AD22DE" w14:paraId="4CEEBB68" w14:textId="77777777" w:rsidTr="00135D96">
        <w:trPr>
          <w:cantSplit/>
          <w:trHeight w:val="233"/>
        </w:trPr>
        <w:tc>
          <w:tcPr>
            <w:tcW w:w="918" w:type="dxa"/>
          </w:tcPr>
          <w:p w14:paraId="7A6A7CB6" w14:textId="354C4BBB" w:rsidR="00804B50" w:rsidRPr="00F86F63" w:rsidRDefault="00804B50" w:rsidP="00EA105F">
            <w:pPr>
              <w:rPr>
                <w:sz w:val="22"/>
                <w:szCs w:val="22"/>
              </w:rPr>
            </w:pPr>
            <w:r>
              <w:rPr>
                <w:sz w:val="22"/>
                <w:szCs w:val="22"/>
              </w:rPr>
              <w:t>62</w:t>
            </w:r>
          </w:p>
        </w:tc>
        <w:tc>
          <w:tcPr>
            <w:tcW w:w="1125" w:type="dxa"/>
          </w:tcPr>
          <w:p w14:paraId="623F395E" w14:textId="2C325A4B" w:rsidR="00804B50" w:rsidRPr="00F86F63" w:rsidRDefault="00804B50" w:rsidP="00EA105F">
            <w:pPr>
              <w:rPr>
                <w:sz w:val="22"/>
                <w:szCs w:val="22"/>
              </w:rPr>
            </w:pPr>
            <w:r>
              <w:rPr>
                <w:sz w:val="22"/>
                <w:szCs w:val="22"/>
              </w:rPr>
              <w:t>8-20</w:t>
            </w:r>
          </w:p>
        </w:tc>
        <w:tc>
          <w:tcPr>
            <w:tcW w:w="8145" w:type="dxa"/>
            <w:gridSpan w:val="2"/>
          </w:tcPr>
          <w:p w14:paraId="2E88B0AD" w14:textId="22BEAC77" w:rsidR="00804B50" w:rsidRPr="00F86F63" w:rsidRDefault="00804B50" w:rsidP="0018238B">
            <w:pPr>
              <w:rPr>
                <w:sz w:val="22"/>
                <w:szCs w:val="22"/>
              </w:rPr>
            </w:pPr>
            <w:r>
              <w:rPr>
                <w:sz w:val="22"/>
                <w:szCs w:val="22"/>
              </w:rPr>
              <w:t xml:space="preserve">The engineering of auxotrophic mutations is another approach to induce conditional lethality in bacterial cells by requiring the addition of a particular nutrient into the media to maintain viability. A good example of this approach is found here: </w:t>
            </w:r>
            <w:r w:rsidRPr="00CF7061">
              <w:rPr>
                <w:sz w:val="22"/>
                <w:szCs w:val="22"/>
              </w:rPr>
              <w:t>https://www.ncbi.nlm.nih.gov/pmc/articles/PMC4579030/</w:t>
            </w:r>
          </w:p>
        </w:tc>
      </w:tr>
      <w:tr w:rsidR="00804B50" w:rsidRPr="00AD22DE" w14:paraId="4A4D44A2" w14:textId="77777777" w:rsidTr="00135D96">
        <w:trPr>
          <w:cantSplit/>
          <w:trHeight w:val="233"/>
        </w:trPr>
        <w:tc>
          <w:tcPr>
            <w:tcW w:w="918" w:type="dxa"/>
          </w:tcPr>
          <w:p w14:paraId="7D986775" w14:textId="606DAAEA" w:rsidR="00804B50" w:rsidRPr="00F86F63" w:rsidRDefault="00804B50" w:rsidP="00804B50">
            <w:pPr>
              <w:rPr>
                <w:sz w:val="22"/>
                <w:szCs w:val="22"/>
              </w:rPr>
            </w:pPr>
            <w:r>
              <w:rPr>
                <w:sz w:val="22"/>
                <w:szCs w:val="22"/>
              </w:rPr>
              <w:t>62</w:t>
            </w:r>
          </w:p>
        </w:tc>
        <w:tc>
          <w:tcPr>
            <w:tcW w:w="1125" w:type="dxa"/>
          </w:tcPr>
          <w:p w14:paraId="5AC5FC2C" w14:textId="1ABCF4B4" w:rsidR="00804B50" w:rsidRPr="00F86F63" w:rsidRDefault="00804B50" w:rsidP="00804B50">
            <w:pPr>
              <w:rPr>
                <w:sz w:val="22"/>
                <w:szCs w:val="22"/>
              </w:rPr>
            </w:pPr>
            <w:r>
              <w:rPr>
                <w:sz w:val="22"/>
                <w:szCs w:val="22"/>
              </w:rPr>
              <w:t>21</w:t>
            </w:r>
          </w:p>
        </w:tc>
        <w:tc>
          <w:tcPr>
            <w:tcW w:w="8145" w:type="dxa"/>
            <w:gridSpan w:val="2"/>
          </w:tcPr>
          <w:p w14:paraId="786809CF" w14:textId="6B4DD064" w:rsidR="00804B50" w:rsidRPr="00F86F63" w:rsidRDefault="00804B50" w:rsidP="00804B50">
            <w:pPr>
              <w:rPr>
                <w:sz w:val="22"/>
                <w:szCs w:val="22"/>
              </w:rPr>
            </w:pPr>
            <w:r>
              <w:rPr>
                <w:sz w:val="22"/>
                <w:szCs w:val="22"/>
              </w:rPr>
              <w:t>Suggest the title include the words “…for gene drives”, as this section appears to focus exclusively on gene drives.</w:t>
            </w:r>
          </w:p>
        </w:tc>
      </w:tr>
      <w:tr w:rsidR="00804B50" w:rsidRPr="00AD22DE" w14:paraId="12F556C9" w14:textId="77777777" w:rsidTr="00135D96">
        <w:trPr>
          <w:cantSplit/>
          <w:trHeight w:val="233"/>
        </w:trPr>
        <w:tc>
          <w:tcPr>
            <w:tcW w:w="918" w:type="dxa"/>
          </w:tcPr>
          <w:p w14:paraId="114ECD33" w14:textId="79B8E4A3" w:rsidR="00804B50" w:rsidRPr="00F86F63" w:rsidRDefault="00804B50" w:rsidP="00804B50">
            <w:pPr>
              <w:rPr>
                <w:sz w:val="22"/>
                <w:szCs w:val="22"/>
              </w:rPr>
            </w:pPr>
            <w:r>
              <w:rPr>
                <w:sz w:val="22"/>
                <w:szCs w:val="22"/>
              </w:rPr>
              <w:t>66</w:t>
            </w:r>
          </w:p>
        </w:tc>
        <w:tc>
          <w:tcPr>
            <w:tcW w:w="1125" w:type="dxa"/>
          </w:tcPr>
          <w:p w14:paraId="1722E8E8" w14:textId="32C1AA72" w:rsidR="00804B50" w:rsidRPr="00F86F63" w:rsidRDefault="00804B50" w:rsidP="00804B50">
            <w:pPr>
              <w:rPr>
                <w:sz w:val="22"/>
                <w:szCs w:val="22"/>
              </w:rPr>
            </w:pPr>
            <w:r>
              <w:rPr>
                <w:sz w:val="22"/>
                <w:szCs w:val="22"/>
              </w:rPr>
              <w:t>42-45</w:t>
            </w:r>
          </w:p>
        </w:tc>
        <w:tc>
          <w:tcPr>
            <w:tcW w:w="8145" w:type="dxa"/>
            <w:gridSpan w:val="2"/>
          </w:tcPr>
          <w:p w14:paraId="314DDBC8" w14:textId="10968113" w:rsidR="00804B50" w:rsidRPr="00F86F63" w:rsidRDefault="00804B50" w:rsidP="00804B50">
            <w:pPr>
              <w:rPr>
                <w:sz w:val="22"/>
                <w:szCs w:val="22"/>
              </w:rPr>
            </w:pPr>
            <w:r>
              <w:rPr>
                <w:sz w:val="22"/>
                <w:szCs w:val="22"/>
              </w:rPr>
              <w:t xml:space="preserve">This does not appear to </w:t>
            </w:r>
            <w:proofErr w:type="gramStart"/>
            <w:r>
              <w:rPr>
                <w:sz w:val="22"/>
                <w:szCs w:val="22"/>
              </w:rPr>
              <w:t>be supported</w:t>
            </w:r>
            <w:proofErr w:type="gramEnd"/>
            <w:r>
              <w:rPr>
                <w:sz w:val="22"/>
                <w:szCs w:val="22"/>
              </w:rPr>
              <w:t xml:space="preserve"> by any statements expressed in the Ellens et al. 2019 paper. In the abstract of the paper it states: “…</w:t>
            </w:r>
            <w:r w:rsidRPr="00DF460F">
              <w:rPr>
                <w:i/>
                <w:sz w:val="22"/>
                <w:szCs w:val="22"/>
              </w:rPr>
              <w:t>from a regulatory standpoint the Government of Canada views gene editing as another tool that will join current methods used to develop desirable traits in plants and animals. This is because Canada focusses on the potential risk resulting from the novelty of the trait, or plant or animal product entering the Canadian environment or market place, rather than the process or method by which it was created.</w:t>
            </w:r>
            <w:r>
              <w:rPr>
                <w:sz w:val="22"/>
                <w:szCs w:val="22"/>
              </w:rPr>
              <w:t>” Thus, it may be more accurate to say that plants, animals and their derived products (food, feed) produced through gene editing are regulated in Canada and subject to assessment based on whether novel traits are being expressed as a result of gene editing.</w:t>
            </w:r>
          </w:p>
        </w:tc>
      </w:tr>
      <w:tr w:rsidR="00804B50" w:rsidRPr="00AD22DE" w14:paraId="786AB29D" w14:textId="77777777" w:rsidTr="00135D96">
        <w:trPr>
          <w:cantSplit/>
          <w:trHeight w:val="233"/>
        </w:trPr>
        <w:tc>
          <w:tcPr>
            <w:tcW w:w="918" w:type="dxa"/>
          </w:tcPr>
          <w:p w14:paraId="690F094D" w14:textId="20BAE25F" w:rsidR="00804B50" w:rsidRPr="00F86F63" w:rsidRDefault="00804B50" w:rsidP="00804B50">
            <w:pPr>
              <w:rPr>
                <w:sz w:val="22"/>
                <w:szCs w:val="22"/>
              </w:rPr>
            </w:pPr>
            <w:r>
              <w:rPr>
                <w:sz w:val="22"/>
                <w:szCs w:val="22"/>
              </w:rPr>
              <w:t>67</w:t>
            </w:r>
          </w:p>
        </w:tc>
        <w:tc>
          <w:tcPr>
            <w:tcW w:w="1125" w:type="dxa"/>
          </w:tcPr>
          <w:p w14:paraId="00E4B63A" w14:textId="3D38FE83" w:rsidR="00804B50" w:rsidRPr="00F86F63" w:rsidRDefault="00804B50" w:rsidP="00804B50">
            <w:pPr>
              <w:rPr>
                <w:sz w:val="22"/>
                <w:szCs w:val="22"/>
              </w:rPr>
            </w:pPr>
            <w:r>
              <w:rPr>
                <w:sz w:val="22"/>
                <w:szCs w:val="22"/>
              </w:rPr>
              <w:t>11-12</w:t>
            </w:r>
          </w:p>
        </w:tc>
        <w:tc>
          <w:tcPr>
            <w:tcW w:w="8145" w:type="dxa"/>
            <w:gridSpan w:val="2"/>
          </w:tcPr>
          <w:p w14:paraId="612F8E15" w14:textId="70FE18C8" w:rsidR="00804B50" w:rsidRPr="00F86F63" w:rsidRDefault="00804B50" w:rsidP="00804B50">
            <w:pPr>
              <w:rPr>
                <w:sz w:val="22"/>
                <w:szCs w:val="22"/>
              </w:rPr>
            </w:pPr>
            <w:r>
              <w:rPr>
                <w:sz w:val="22"/>
                <w:szCs w:val="22"/>
              </w:rPr>
              <w:t>It would be helpful to state who has put forward these arguments and cite a few sources.</w:t>
            </w:r>
          </w:p>
        </w:tc>
      </w:tr>
      <w:tr w:rsidR="00804B50" w:rsidRPr="00AD22DE" w14:paraId="077ECF3C" w14:textId="77777777" w:rsidTr="00135D96">
        <w:trPr>
          <w:cantSplit/>
          <w:trHeight w:val="233"/>
        </w:trPr>
        <w:tc>
          <w:tcPr>
            <w:tcW w:w="918" w:type="dxa"/>
          </w:tcPr>
          <w:p w14:paraId="3053276C" w14:textId="12C42ECF" w:rsidR="00804B50" w:rsidRPr="00F86F63" w:rsidRDefault="00804B50" w:rsidP="00804B50">
            <w:pPr>
              <w:rPr>
                <w:sz w:val="22"/>
                <w:szCs w:val="22"/>
              </w:rPr>
            </w:pPr>
            <w:r>
              <w:rPr>
                <w:sz w:val="22"/>
                <w:szCs w:val="22"/>
              </w:rPr>
              <w:t>67</w:t>
            </w:r>
          </w:p>
        </w:tc>
        <w:tc>
          <w:tcPr>
            <w:tcW w:w="1125" w:type="dxa"/>
          </w:tcPr>
          <w:p w14:paraId="011C33C7" w14:textId="5C2E4AD2" w:rsidR="00804B50" w:rsidRPr="00F86F63" w:rsidRDefault="00804B50" w:rsidP="00804B50">
            <w:pPr>
              <w:rPr>
                <w:sz w:val="22"/>
                <w:szCs w:val="22"/>
              </w:rPr>
            </w:pPr>
            <w:r>
              <w:rPr>
                <w:sz w:val="22"/>
                <w:szCs w:val="22"/>
              </w:rPr>
              <w:t>15-18</w:t>
            </w:r>
          </w:p>
        </w:tc>
        <w:tc>
          <w:tcPr>
            <w:tcW w:w="8145" w:type="dxa"/>
            <w:gridSpan w:val="2"/>
          </w:tcPr>
          <w:p w14:paraId="31FB0F18" w14:textId="50ED0C30" w:rsidR="00804B50" w:rsidRPr="00F86F63" w:rsidRDefault="00804B50" w:rsidP="00804B50">
            <w:pPr>
              <w:rPr>
                <w:sz w:val="22"/>
                <w:szCs w:val="22"/>
              </w:rPr>
            </w:pPr>
            <w:r>
              <w:rPr>
                <w:sz w:val="22"/>
                <w:szCs w:val="22"/>
              </w:rPr>
              <w:t xml:space="preserve">Suggest removing the last 2 sentences of this </w:t>
            </w:r>
            <w:proofErr w:type="gramStart"/>
            <w:r>
              <w:rPr>
                <w:sz w:val="22"/>
                <w:szCs w:val="22"/>
              </w:rPr>
              <w:t>paragraph</w:t>
            </w:r>
            <w:proofErr w:type="gramEnd"/>
            <w:r>
              <w:rPr>
                <w:sz w:val="22"/>
                <w:szCs w:val="22"/>
              </w:rPr>
              <w:t xml:space="preserve"> as they sound ambiguous and unfocused and do not appear to fit with the tone of the rest of the section.</w:t>
            </w:r>
          </w:p>
        </w:tc>
      </w:tr>
      <w:tr w:rsidR="00804B50" w:rsidRPr="00AD22DE" w14:paraId="31B1A49C" w14:textId="77777777" w:rsidTr="00135D96">
        <w:trPr>
          <w:cantSplit/>
          <w:trHeight w:val="233"/>
        </w:trPr>
        <w:tc>
          <w:tcPr>
            <w:tcW w:w="918" w:type="dxa"/>
          </w:tcPr>
          <w:p w14:paraId="26E0E2AA" w14:textId="182F0095" w:rsidR="00804B50" w:rsidRPr="00F86F63" w:rsidRDefault="00804B50" w:rsidP="00804B50">
            <w:pPr>
              <w:rPr>
                <w:sz w:val="22"/>
                <w:szCs w:val="22"/>
              </w:rPr>
            </w:pPr>
            <w:r>
              <w:rPr>
                <w:sz w:val="22"/>
                <w:szCs w:val="22"/>
              </w:rPr>
              <w:t>69</w:t>
            </w:r>
          </w:p>
        </w:tc>
        <w:tc>
          <w:tcPr>
            <w:tcW w:w="1125" w:type="dxa"/>
          </w:tcPr>
          <w:p w14:paraId="1C6455E2" w14:textId="5E36073A" w:rsidR="00804B50" w:rsidRPr="00F86F63" w:rsidRDefault="00804B50" w:rsidP="00804B50">
            <w:pPr>
              <w:rPr>
                <w:sz w:val="22"/>
                <w:szCs w:val="22"/>
              </w:rPr>
            </w:pPr>
            <w:r>
              <w:rPr>
                <w:sz w:val="22"/>
                <w:szCs w:val="22"/>
              </w:rPr>
              <w:t>7-8</w:t>
            </w:r>
          </w:p>
        </w:tc>
        <w:tc>
          <w:tcPr>
            <w:tcW w:w="8145" w:type="dxa"/>
            <w:gridSpan w:val="2"/>
          </w:tcPr>
          <w:p w14:paraId="503F912F" w14:textId="59C037A0" w:rsidR="00804B50" w:rsidRPr="00F86F63" w:rsidRDefault="00804B50" w:rsidP="00804B50">
            <w:pPr>
              <w:rPr>
                <w:sz w:val="22"/>
                <w:szCs w:val="22"/>
              </w:rPr>
            </w:pPr>
            <w:r>
              <w:rPr>
                <w:sz w:val="22"/>
                <w:szCs w:val="22"/>
              </w:rPr>
              <w:t>Synthetic biology in unnecessary quotations.</w:t>
            </w:r>
          </w:p>
        </w:tc>
      </w:tr>
      <w:tr w:rsidR="00804B50" w:rsidRPr="00AD22DE" w14:paraId="7DA9A366" w14:textId="77777777" w:rsidTr="00135D96">
        <w:trPr>
          <w:cantSplit/>
          <w:trHeight w:val="233"/>
        </w:trPr>
        <w:tc>
          <w:tcPr>
            <w:tcW w:w="918" w:type="dxa"/>
          </w:tcPr>
          <w:p w14:paraId="0704BF74" w14:textId="3E22E31F" w:rsidR="00804B50" w:rsidRPr="00F86F63" w:rsidRDefault="00804B50" w:rsidP="00804B50">
            <w:pPr>
              <w:rPr>
                <w:sz w:val="22"/>
                <w:szCs w:val="22"/>
              </w:rPr>
            </w:pPr>
            <w:r>
              <w:rPr>
                <w:sz w:val="22"/>
                <w:szCs w:val="22"/>
              </w:rPr>
              <w:t>70</w:t>
            </w:r>
          </w:p>
        </w:tc>
        <w:tc>
          <w:tcPr>
            <w:tcW w:w="1125" w:type="dxa"/>
          </w:tcPr>
          <w:p w14:paraId="5C318341" w14:textId="5B6FE89D" w:rsidR="00804B50" w:rsidRPr="00F86F63" w:rsidRDefault="00804B50" w:rsidP="00804B50">
            <w:pPr>
              <w:rPr>
                <w:sz w:val="22"/>
                <w:szCs w:val="22"/>
              </w:rPr>
            </w:pPr>
            <w:r>
              <w:rPr>
                <w:sz w:val="22"/>
                <w:szCs w:val="22"/>
              </w:rPr>
              <w:t>7</w:t>
            </w:r>
          </w:p>
        </w:tc>
        <w:tc>
          <w:tcPr>
            <w:tcW w:w="8145" w:type="dxa"/>
            <w:gridSpan w:val="2"/>
          </w:tcPr>
          <w:p w14:paraId="728544B4" w14:textId="6F3BAC65" w:rsidR="00804B50" w:rsidRPr="00F86F63" w:rsidRDefault="00804B50" w:rsidP="00804B50">
            <w:pPr>
              <w:rPr>
                <w:sz w:val="22"/>
                <w:szCs w:val="22"/>
              </w:rPr>
            </w:pPr>
            <w:r>
              <w:rPr>
                <w:sz w:val="22"/>
                <w:szCs w:val="22"/>
              </w:rPr>
              <w:t xml:space="preserve">Self-regulation in unnecessary quotations, as the term </w:t>
            </w:r>
            <w:proofErr w:type="gramStart"/>
            <w:r>
              <w:rPr>
                <w:sz w:val="22"/>
                <w:szCs w:val="22"/>
              </w:rPr>
              <w:t>was defined and explained in the paragraph above</w:t>
            </w:r>
            <w:proofErr w:type="gramEnd"/>
            <w:r>
              <w:rPr>
                <w:sz w:val="22"/>
                <w:szCs w:val="22"/>
              </w:rPr>
              <w:t xml:space="preserve">. </w:t>
            </w:r>
          </w:p>
        </w:tc>
      </w:tr>
      <w:tr w:rsidR="00804B50" w:rsidRPr="00AD22DE" w14:paraId="15F4ACDC" w14:textId="77777777" w:rsidTr="00135D96">
        <w:trPr>
          <w:cantSplit/>
          <w:trHeight w:val="233"/>
        </w:trPr>
        <w:tc>
          <w:tcPr>
            <w:tcW w:w="918" w:type="dxa"/>
          </w:tcPr>
          <w:p w14:paraId="414018F7" w14:textId="5F5184F8" w:rsidR="00804B50" w:rsidRPr="00F86F63" w:rsidRDefault="00804B50" w:rsidP="00804B50">
            <w:pPr>
              <w:rPr>
                <w:sz w:val="22"/>
                <w:szCs w:val="22"/>
              </w:rPr>
            </w:pPr>
            <w:r>
              <w:rPr>
                <w:sz w:val="22"/>
                <w:szCs w:val="22"/>
              </w:rPr>
              <w:t>70</w:t>
            </w:r>
          </w:p>
        </w:tc>
        <w:tc>
          <w:tcPr>
            <w:tcW w:w="1125" w:type="dxa"/>
          </w:tcPr>
          <w:p w14:paraId="530AA468" w14:textId="5566F5AF" w:rsidR="00804B50" w:rsidRPr="00F86F63" w:rsidRDefault="00804B50" w:rsidP="00804B50">
            <w:pPr>
              <w:rPr>
                <w:sz w:val="22"/>
                <w:szCs w:val="22"/>
              </w:rPr>
            </w:pPr>
            <w:r>
              <w:rPr>
                <w:sz w:val="22"/>
                <w:szCs w:val="22"/>
              </w:rPr>
              <w:t>17</w:t>
            </w:r>
          </w:p>
        </w:tc>
        <w:tc>
          <w:tcPr>
            <w:tcW w:w="8145" w:type="dxa"/>
            <w:gridSpan w:val="2"/>
          </w:tcPr>
          <w:p w14:paraId="5A51FA1A" w14:textId="69EC2160" w:rsidR="00804B50" w:rsidRPr="00F86F63" w:rsidRDefault="00804B50" w:rsidP="00804B50">
            <w:pPr>
              <w:rPr>
                <w:sz w:val="22"/>
                <w:szCs w:val="22"/>
              </w:rPr>
            </w:pPr>
            <w:r>
              <w:rPr>
                <w:sz w:val="22"/>
                <w:szCs w:val="22"/>
              </w:rPr>
              <w:t>Formatting. Space required between “…2011)involving”</w:t>
            </w:r>
          </w:p>
        </w:tc>
      </w:tr>
      <w:tr w:rsidR="00804B50" w:rsidRPr="00AD22DE" w14:paraId="5BDE3318" w14:textId="77777777" w:rsidTr="00135D96">
        <w:trPr>
          <w:cantSplit/>
          <w:trHeight w:val="233"/>
        </w:trPr>
        <w:tc>
          <w:tcPr>
            <w:tcW w:w="918" w:type="dxa"/>
          </w:tcPr>
          <w:p w14:paraId="2048E217" w14:textId="22C941CF" w:rsidR="00804B50" w:rsidRPr="00F86F63" w:rsidRDefault="00804B50" w:rsidP="00804B50">
            <w:pPr>
              <w:rPr>
                <w:sz w:val="22"/>
                <w:szCs w:val="22"/>
              </w:rPr>
            </w:pPr>
            <w:r>
              <w:rPr>
                <w:sz w:val="22"/>
                <w:szCs w:val="22"/>
              </w:rPr>
              <w:t>70</w:t>
            </w:r>
          </w:p>
        </w:tc>
        <w:tc>
          <w:tcPr>
            <w:tcW w:w="1125" w:type="dxa"/>
          </w:tcPr>
          <w:p w14:paraId="27163F29" w14:textId="1DEE6530" w:rsidR="00804B50" w:rsidRPr="00F86F63" w:rsidRDefault="00804B50" w:rsidP="00804B50">
            <w:pPr>
              <w:rPr>
                <w:sz w:val="22"/>
                <w:szCs w:val="22"/>
              </w:rPr>
            </w:pPr>
            <w:r>
              <w:rPr>
                <w:sz w:val="22"/>
                <w:szCs w:val="22"/>
              </w:rPr>
              <w:t>27</w:t>
            </w:r>
          </w:p>
        </w:tc>
        <w:tc>
          <w:tcPr>
            <w:tcW w:w="8145" w:type="dxa"/>
            <w:gridSpan w:val="2"/>
          </w:tcPr>
          <w:p w14:paraId="1B81C138" w14:textId="5DACA4BF" w:rsidR="00804B50" w:rsidRPr="00F86F63" w:rsidRDefault="00804B50" w:rsidP="00804B50">
            <w:pPr>
              <w:rPr>
                <w:sz w:val="22"/>
                <w:szCs w:val="22"/>
              </w:rPr>
            </w:pPr>
            <w:r>
              <w:rPr>
                <w:sz w:val="22"/>
                <w:szCs w:val="22"/>
              </w:rPr>
              <w:t>Formatting consistency. Elsewhere in the document, there is spacing between et al. and the bracketed year. In this line it is written as “et al</w:t>
            </w:r>
            <w:proofErr w:type="gramStart"/>
            <w:r>
              <w:rPr>
                <w:sz w:val="22"/>
                <w:szCs w:val="22"/>
              </w:rPr>
              <w:t>.(</w:t>
            </w:r>
            <w:proofErr w:type="gramEnd"/>
            <w:r>
              <w:rPr>
                <w:sz w:val="22"/>
                <w:szCs w:val="22"/>
              </w:rPr>
              <w:t>2009)”.</w:t>
            </w:r>
          </w:p>
        </w:tc>
      </w:tr>
      <w:tr w:rsidR="00804B50" w:rsidRPr="00AD22DE" w14:paraId="4F507623" w14:textId="77777777" w:rsidTr="00135D96">
        <w:trPr>
          <w:cantSplit/>
          <w:trHeight w:val="233"/>
        </w:trPr>
        <w:tc>
          <w:tcPr>
            <w:tcW w:w="918" w:type="dxa"/>
          </w:tcPr>
          <w:p w14:paraId="22D05266" w14:textId="43392A13" w:rsidR="00804B50" w:rsidRPr="00F86F63" w:rsidRDefault="00804B50" w:rsidP="00804B50">
            <w:pPr>
              <w:rPr>
                <w:sz w:val="22"/>
                <w:szCs w:val="22"/>
              </w:rPr>
            </w:pPr>
            <w:r>
              <w:rPr>
                <w:sz w:val="22"/>
                <w:szCs w:val="22"/>
              </w:rPr>
              <w:t>81</w:t>
            </w:r>
          </w:p>
        </w:tc>
        <w:tc>
          <w:tcPr>
            <w:tcW w:w="1125" w:type="dxa"/>
          </w:tcPr>
          <w:p w14:paraId="2CF5E45A" w14:textId="030FE9F5" w:rsidR="00804B50" w:rsidRPr="00F86F63" w:rsidRDefault="00804B50" w:rsidP="00804B50">
            <w:pPr>
              <w:rPr>
                <w:sz w:val="22"/>
                <w:szCs w:val="22"/>
              </w:rPr>
            </w:pPr>
            <w:r>
              <w:rPr>
                <w:sz w:val="22"/>
                <w:szCs w:val="22"/>
              </w:rPr>
              <w:t>41-42</w:t>
            </w:r>
          </w:p>
        </w:tc>
        <w:tc>
          <w:tcPr>
            <w:tcW w:w="8145" w:type="dxa"/>
            <w:gridSpan w:val="2"/>
          </w:tcPr>
          <w:p w14:paraId="70462D9B" w14:textId="148F0152" w:rsidR="00804B50" w:rsidRPr="00F86F63" w:rsidRDefault="00804B50" w:rsidP="00804B50">
            <w:pPr>
              <w:rPr>
                <w:sz w:val="22"/>
                <w:szCs w:val="22"/>
              </w:rPr>
            </w:pPr>
            <w:r>
              <w:rPr>
                <w:sz w:val="22"/>
                <w:szCs w:val="22"/>
              </w:rPr>
              <w:t xml:space="preserve">Both SBSTTA and AHTEG are acronyms that </w:t>
            </w:r>
            <w:proofErr w:type="gramStart"/>
            <w:r>
              <w:rPr>
                <w:sz w:val="22"/>
                <w:szCs w:val="22"/>
              </w:rPr>
              <w:t>have been previously spelled out,</w:t>
            </w:r>
            <w:proofErr w:type="gramEnd"/>
            <w:r>
              <w:rPr>
                <w:sz w:val="22"/>
                <w:szCs w:val="22"/>
              </w:rPr>
              <w:t xml:space="preserve"> and therefore do not need to be spelled out again. </w:t>
            </w:r>
          </w:p>
        </w:tc>
      </w:tr>
      <w:tr w:rsidR="00804B50" w:rsidRPr="00AD22DE" w14:paraId="00A5AA74" w14:textId="77777777" w:rsidTr="00135D96">
        <w:trPr>
          <w:cantSplit/>
          <w:trHeight w:val="233"/>
        </w:trPr>
        <w:tc>
          <w:tcPr>
            <w:tcW w:w="918" w:type="dxa"/>
          </w:tcPr>
          <w:p w14:paraId="2358F935" w14:textId="4D326BCD" w:rsidR="00804B50" w:rsidRPr="00F86F63" w:rsidRDefault="00804B50" w:rsidP="00804B50">
            <w:pPr>
              <w:rPr>
                <w:sz w:val="22"/>
                <w:szCs w:val="22"/>
              </w:rPr>
            </w:pPr>
            <w:r>
              <w:rPr>
                <w:sz w:val="22"/>
                <w:szCs w:val="22"/>
              </w:rPr>
              <w:t>83</w:t>
            </w:r>
          </w:p>
        </w:tc>
        <w:tc>
          <w:tcPr>
            <w:tcW w:w="1125" w:type="dxa"/>
          </w:tcPr>
          <w:p w14:paraId="275D1D54" w14:textId="225E6D1E" w:rsidR="00804B50" w:rsidRPr="00F86F63" w:rsidRDefault="00804B50" w:rsidP="00804B50">
            <w:pPr>
              <w:rPr>
                <w:sz w:val="22"/>
                <w:szCs w:val="22"/>
              </w:rPr>
            </w:pPr>
            <w:r>
              <w:rPr>
                <w:sz w:val="22"/>
                <w:szCs w:val="22"/>
              </w:rPr>
              <w:t>23-28</w:t>
            </w:r>
          </w:p>
        </w:tc>
        <w:tc>
          <w:tcPr>
            <w:tcW w:w="8145" w:type="dxa"/>
            <w:gridSpan w:val="2"/>
          </w:tcPr>
          <w:p w14:paraId="3A3AE666" w14:textId="1B8CE2FB" w:rsidR="00804B50" w:rsidRPr="00F86F63" w:rsidRDefault="00804B50" w:rsidP="00804B50">
            <w:pPr>
              <w:rPr>
                <w:sz w:val="22"/>
                <w:szCs w:val="22"/>
              </w:rPr>
            </w:pPr>
            <w:r>
              <w:rPr>
                <w:sz w:val="22"/>
                <w:szCs w:val="22"/>
              </w:rPr>
              <w:t xml:space="preserve">Unclear as to why the phrase living modified organism </w:t>
            </w:r>
            <w:proofErr w:type="gramStart"/>
            <w:r>
              <w:rPr>
                <w:sz w:val="22"/>
                <w:szCs w:val="22"/>
              </w:rPr>
              <w:t>is being put</w:t>
            </w:r>
            <w:proofErr w:type="gramEnd"/>
            <w:r>
              <w:rPr>
                <w:sz w:val="22"/>
                <w:szCs w:val="22"/>
              </w:rPr>
              <w:t xml:space="preserve"> in quotation marks. The first instance may be quoting the Cartagena protocol, but the following instances are simply using the term. </w:t>
            </w:r>
          </w:p>
        </w:tc>
      </w:tr>
      <w:tr w:rsidR="00804B50" w:rsidRPr="00AD22DE" w14:paraId="74BCAA25" w14:textId="77777777" w:rsidTr="00135D96">
        <w:trPr>
          <w:cantSplit/>
          <w:trHeight w:val="233"/>
        </w:trPr>
        <w:tc>
          <w:tcPr>
            <w:tcW w:w="918" w:type="dxa"/>
          </w:tcPr>
          <w:p w14:paraId="209B0EE1" w14:textId="06EC6AD0" w:rsidR="00804B50" w:rsidRPr="00F86F63" w:rsidRDefault="00804B50" w:rsidP="00804B50">
            <w:pPr>
              <w:rPr>
                <w:sz w:val="22"/>
                <w:szCs w:val="22"/>
              </w:rPr>
            </w:pPr>
            <w:r>
              <w:rPr>
                <w:sz w:val="22"/>
                <w:szCs w:val="22"/>
              </w:rPr>
              <w:t>84</w:t>
            </w:r>
          </w:p>
        </w:tc>
        <w:tc>
          <w:tcPr>
            <w:tcW w:w="1125" w:type="dxa"/>
          </w:tcPr>
          <w:p w14:paraId="7796881B" w14:textId="36CA66CF" w:rsidR="00804B50" w:rsidRPr="00F86F63" w:rsidRDefault="00804B50" w:rsidP="00804B50">
            <w:pPr>
              <w:rPr>
                <w:sz w:val="22"/>
                <w:szCs w:val="22"/>
              </w:rPr>
            </w:pPr>
            <w:r>
              <w:rPr>
                <w:sz w:val="22"/>
                <w:szCs w:val="22"/>
              </w:rPr>
              <w:t>3-24</w:t>
            </w:r>
          </w:p>
        </w:tc>
        <w:tc>
          <w:tcPr>
            <w:tcW w:w="8145" w:type="dxa"/>
            <w:gridSpan w:val="2"/>
          </w:tcPr>
          <w:p w14:paraId="64F060C1" w14:textId="0DD6E45A" w:rsidR="00804B50" w:rsidRPr="00F86F63" w:rsidRDefault="00804B50" w:rsidP="00804B50">
            <w:pPr>
              <w:rPr>
                <w:sz w:val="22"/>
                <w:szCs w:val="22"/>
              </w:rPr>
            </w:pPr>
            <w:r>
              <w:rPr>
                <w:sz w:val="22"/>
                <w:szCs w:val="22"/>
              </w:rPr>
              <w:t xml:space="preserve">Comment as above, why is the term living modified organism </w:t>
            </w:r>
            <w:proofErr w:type="gramStart"/>
            <w:r>
              <w:rPr>
                <w:sz w:val="22"/>
                <w:szCs w:val="22"/>
              </w:rPr>
              <w:t>being placed</w:t>
            </w:r>
            <w:proofErr w:type="gramEnd"/>
            <w:r>
              <w:rPr>
                <w:sz w:val="22"/>
                <w:szCs w:val="22"/>
              </w:rPr>
              <w:t xml:space="preserve"> in quotation marks. Additionally, consider either spelling out the phrase OR using the acronym LMO (after the first time) for consistency. </w:t>
            </w:r>
          </w:p>
        </w:tc>
      </w:tr>
      <w:tr w:rsidR="00804B50" w:rsidRPr="00AD22DE" w14:paraId="23B97A3A" w14:textId="77777777" w:rsidTr="00135D96">
        <w:trPr>
          <w:cantSplit/>
          <w:trHeight w:val="233"/>
        </w:trPr>
        <w:tc>
          <w:tcPr>
            <w:tcW w:w="918" w:type="dxa"/>
          </w:tcPr>
          <w:p w14:paraId="3D58E77F" w14:textId="1B9B37E1" w:rsidR="00804B50" w:rsidRPr="00F86F63" w:rsidRDefault="00804B50" w:rsidP="00804B50">
            <w:pPr>
              <w:rPr>
                <w:sz w:val="22"/>
                <w:szCs w:val="22"/>
              </w:rPr>
            </w:pPr>
            <w:r>
              <w:rPr>
                <w:sz w:val="22"/>
                <w:szCs w:val="22"/>
              </w:rPr>
              <w:t>96</w:t>
            </w:r>
          </w:p>
        </w:tc>
        <w:tc>
          <w:tcPr>
            <w:tcW w:w="1125" w:type="dxa"/>
          </w:tcPr>
          <w:p w14:paraId="16B5CAE1" w14:textId="2CBB79B2" w:rsidR="00804B50" w:rsidRPr="00F86F63" w:rsidRDefault="00804B50" w:rsidP="00804B50">
            <w:pPr>
              <w:rPr>
                <w:sz w:val="22"/>
                <w:szCs w:val="22"/>
              </w:rPr>
            </w:pPr>
            <w:r>
              <w:rPr>
                <w:sz w:val="22"/>
                <w:szCs w:val="22"/>
              </w:rPr>
              <w:t>27-29</w:t>
            </w:r>
          </w:p>
        </w:tc>
        <w:tc>
          <w:tcPr>
            <w:tcW w:w="8145" w:type="dxa"/>
            <w:gridSpan w:val="2"/>
          </w:tcPr>
          <w:p w14:paraId="5734E81D" w14:textId="2F387C07" w:rsidR="00804B50" w:rsidRPr="00F86F63" w:rsidRDefault="00804B50" w:rsidP="00804B50">
            <w:pPr>
              <w:rPr>
                <w:sz w:val="22"/>
                <w:szCs w:val="22"/>
              </w:rPr>
            </w:pPr>
            <w:r>
              <w:rPr>
                <w:sz w:val="22"/>
                <w:szCs w:val="22"/>
              </w:rPr>
              <w:t xml:space="preserve">Why is this sentence bolded? If quoting the WHO, place in quotation marks. </w:t>
            </w:r>
          </w:p>
        </w:tc>
      </w:tr>
      <w:tr w:rsidR="00804B50" w:rsidRPr="00AD22DE" w14:paraId="7ECB7D6E" w14:textId="77777777" w:rsidTr="00135D96">
        <w:trPr>
          <w:cantSplit/>
          <w:trHeight w:val="233"/>
        </w:trPr>
        <w:tc>
          <w:tcPr>
            <w:tcW w:w="918" w:type="dxa"/>
          </w:tcPr>
          <w:p w14:paraId="59BC2855" w14:textId="24FAF4A2" w:rsidR="00804B50" w:rsidRPr="00F86F63" w:rsidRDefault="00804B50" w:rsidP="00804B50">
            <w:pPr>
              <w:rPr>
                <w:sz w:val="22"/>
                <w:szCs w:val="22"/>
              </w:rPr>
            </w:pPr>
            <w:r>
              <w:rPr>
                <w:sz w:val="22"/>
                <w:szCs w:val="22"/>
              </w:rPr>
              <w:t>101</w:t>
            </w:r>
          </w:p>
        </w:tc>
        <w:tc>
          <w:tcPr>
            <w:tcW w:w="1125" w:type="dxa"/>
          </w:tcPr>
          <w:p w14:paraId="22643A12" w14:textId="4A87A765" w:rsidR="00804B50" w:rsidRPr="00F86F63" w:rsidRDefault="00804B50" w:rsidP="00804B50">
            <w:pPr>
              <w:rPr>
                <w:sz w:val="22"/>
                <w:szCs w:val="22"/>
              </w:rPr>
            </w:pPr>
            <w:r>
              <w:rPr>
                <w:sz w:val="22"/>
                <w:szCs w:val="22"/>
              </w:rPr>
              <w:t>6</w:t>
            </w:r>
          </w:p>
        </w:tc>
        <w:tc>
          <w:tcPr>
            <w:tcW w:w="8145" w:type="dxa"/>
            <w:gridSpan w:val="2"/>
          </w:tcPr>
          <w:p w14:paraId="7A147B4F" w14:textId="512D9E8A" w:rsidR="00804B50" w:rsidRPr="00F86F63" w:rsidRDefault="00804B50" w:rsidP="00804B50">
            <w:pPr>
              <w:rPr>
                <w:sz w:val="22"/>
                <w:szCs w:val="22"/>
              </w:rPr>
            </w:pPr>
            <w:r>
              <w:rPr>
                <w:sz w:val="22"/>
                <w:szCs w:val="22"/>
              </w:rPr>
              <w:t>Phrasing/Formatting. Consider either: “At its 17</w:t>
            </w:r>
            <w:r w:rsidRPr="00F96D0B">
              <w:rPr>
                <w:sz w:val="22"/>
                <w:szCs w:val="22"/>
                <w:vertAlign w:val="superscript"/>
              </w:rPr>
              <w:t>th</w:t>
            </w:r>
            <w:r>
              <w:rPr>
                <w:sz w:val="22"/>
                <w:szCs w:val="22"/>
              </w:rPr>
              <w:t xml:space="preserve"> meeting in 2016” or “At its 17</w:t>
            </w:r>
            <w:r w:rsidRPr="00F96D0B">
              <w:rPr>
                <w:sz w:val="22"/>
                <w:szCs w:val="22"/>
                <w:vertAlign w:val="superscript"/>
              </w:rPr>
              <w:t>th</w:t>
            </w:r>
            <w:r>
              <w:rPr>
                <w:sz w:val="22"/>
                <w:szCs w:val="22"/>
              </w:rPr>
              <w:t xml:space="preserve"> meeting (CoP17, 2016)”.</w:t>
            </w:r>
          </w:p>
        </w:tc>
      </w:tr>
      <w:tr w:rsidR="00804B50" w:rsidRPr="00AD22DE" w14:paraId="71E57EE6" w14:textId="77777777" w:rsidTr="00135D96">
        <w:trPr>
          <w:cantSplit/>
          <w:trHeight w:val="233"/>
        </w:trPr>
        <w:tc>
          <w:tcPr>
            <w:tcW w:w="918" w:type="dxa"/>
          </w:tcPr>
          <w:p w14:paraId="32C9016A" w14:textId="5E27ED98" w:rsidR="00804B50" w:rsidRPr="00F86F63" w:rsidRDefault="00804B50" w:rsidP="00804B50">
            <w:pPr>
              <w:rPr>
                <w:sz w:val="22"/>
                <w:szCs w:val="22"/>
              </w:rPr>
            </w:pPr>
            <w:r>
              <w:rPr>
                <w:sz w:val="22"/>
                <w:szCs w:val="22"/>
              </w:rPr>
              <w:t>101</w:t>
            </w:r>
          </w:p>
        </w:tc>
        <w:tc>
          <w:tcPr>
            <w:tcW w:w="1125" w:type="dxa"/>
          </w:tcPr>
          <w:p w14:paraId="64480CE8" w14:textId="3CD2DBC7" w:rsidR="00804B50" w:rsidRPr="00F86F63" w:rsidRDefault="00804B50" w:rsidP="00804B50">
            <w:pPr>
              <w:rPr>
                <w:sz w:val="22"/>
                <w:szCs w:val="22"/>
              </w:rPr>
            </w:pPr>
            <w:r>
              <w:rPr>
                <w:sz w:val="22"/>
                <w:szCs w:val="22"/>
              </w:rPr>
              <w:t>35</w:t>
            </w:r>
          </w:p>
        </w:tc>
        <w:tc>
          <w:tcPr>
            <w:tcW w:w="8145" w:type="dxa"/>
            <w:gridSpan w:val="2"/>
          </w:tcPr>
          <w:p w14:paraId="3B241279" w14:textId="004628EE" w:rsidR="00804B50" w:rsidRPr="00F86F63" w:rsidRDefault="00804B50" w:rsidP="00804B50">
            <w:pPr>
              <w:rPr>
                <w:sz w:val="22"/>
                <w:szCs w:val="22"/>
              </w:rPr>
            </w:pPr>
            <w:r>
              <w:rPr>
                <w:sz w:val="22"/>
                <w:szCs w:val="22"/>
              </w:rPr>
              <w:t>Formatting. Elsewhere in the document, instances of “</w:t>
            </w:r>
            <w:proofErr w:type="spellStart"/>
            <w:r>
              <w:rPr>
                <w:sz w:val="22"/>
                <w:szCs w:val="22"/>
              </w:rPr>
              <w:t>th</w:t>
            </w:r>
            <w:proofErr w:type="spellEnd"/>
            <w:r>
              <w:rPr>
                <w:sz w:val="22"/>
                <w:szCs w:val="22"/>
              </w:rPr>
              <w:t>”, “</w:t>
            </w:r>
            <w:proofErr w:type="spellStart"/>
            <w:r>
              <w:rPr>
                <w:sz w:val="22"/>
                <w:szCs w:val="22"/>
              </w:rPr>
              <w:t>st</w:t>
            </w:r>
            <w:proofErr w:type="spellEnd"/>
            <w:r>
              <w:rPr>
                <w:sz w:val="22"/>
                <w:szCs w:val="22"/>
              </w:rPr>
              <w:t>”, and “</w:t>
            </w:r>
            <w:proofErr w:type="spellStart"/>
            <w:r>
              <w:rPr>
                <w:sz w:val="22"/>
                <w:szCs w:val="22"/>
              </w:rPr>
              <w:t>nd</w:t>
            </w:r>
            <w:proofErr w:type="spellEnd"/>
            <w:r>
              <w:rPr>
                <w:sz w:val="22"/>
                <w:szCs w:val="22"/>
              </w:rPr>
              <w:t xml:space="preserve">” following a number are superscript. In this line, it </w:t>
            </w:r>
            <w:proofErr w:type="gramStart"/>
            <w:r>
              <w:rPr>
                <w:sz w:val="22"/>
                <w:szCs w:val="22"/>
              </w:rPr>
              <w:t>is written</w:t>
            </w:r>
            <w:proofErr w:type="gramEnd"/>
            <w:r>
              <w:rPr>
                <w:sz w:val="22"/>
                <w:szCs w:val="22"/>
              </w:rPr>
              <w:t xml:space="preserve"> as “70</w:t>
            </w:r>
            <w:r w:rsidRPr="00F13F73">
              <w:rPr>
                <w:sz w:val="22"/>
                <w:szCs w:val="22"/>
              </w:rPr>
              <w:t>th</w:t>
            </w:r>
            <w:r>
              <w:rPr>
                <w:sz w:val="22"/>
                <w:szCs w:val="22"/>
              </w:rPr>
              <w:t>”.</w:t>
            </w:r>
          </w:p>
        </w:tc>
      </w:tr>
      <w:tr w:rsidR="00804B50" w:rsidRPr="00AD22DE" w14:paraId="1E18E156" w14:textId="77777777" w:rsidTr="00135D96">
        <w:trPr>
          <w:cantSplit/>
          <w:trHeight w:val="233"/>
        </w:trPr>
        <w:tc>
          <w:tcPr>
            <w:tcW w:w="918" w:type="dxa"/>
          </w:tcPr>
          <w:p w14:paraId="679C8AE3" w14:textId="1E9CD874" w:rsidR="00804B50" w:rsidRPr="00F86F63" w:rsidRDefault="00804B50" w:rsidP="00804B50">
            <w:pPr>
              <w:rPr>
                <w:sz w:val="22"/>
                <w:szCs w:val="22"/>
              </w:rPr>
            </w:pPr>
            <w:r>
              <w:rPr>
                <w:sz w:val="22"/>
                <w:szCs w:val="22"/>
              </w:rPr>
              <w:t>105</w:t>
            </w:r>
          </w:p>
        </w:tc>
        <w:tc>
          <w:tcPr>
            <w:tcW w:w="1125" w:type="dxa"/>
          </w:tcPr>
          <w:p w14:paraId="7B89065F" w14:textId="02289125" w:rsidR="00804B50" w:rsidRPr="00F86F63" w:rsidRDefault="00804B50" w:rsidP="00804B50">
            <w:pPr>
              <w:rPr>
                <w:sz w:val="22"/>
                <w:szCs w:val="22"/>
              </w:rPr>
            </w:pPr>
            <w:r>
              <w:rPr>
                <w:sz w:val="22"/>
                <w:szCs w:val="22"/>
              </w:rPr>
              <w:t>13</w:t>
            </w:r>
          </w:p>
        </w:tc>
        <w:tc>
          <w:tcPr>
            <w:tcW w:w="8145" w:type="dxa"/>
            <w:gridSpan w:val="2"/>
          </w:tcPr>
          <w:p w14:paraId="52C65788" w14:textId="6954E060" w:rsidR="00804B50" w:rsidRPr="00F86F63" w:rsidRDefault="00804B50" w:rsidP="00804B50">
            <w:pPr>
              <w:rPr>
                <w:sz w:val="22"/>
                <w:szCs w:val="22"/>
              </w:rPr>
            </w:pPr>
            <w:r>
              <w:rPr>
                <w:sz w:val="22"/>
                <w:szCs w:val="22"/>
              </w:rPr>
              <w:t xml:space="preserve">Formatting. If you abbreviate a name/term later, place the abbreviation in parentheses following the first time the phrase is used. In this </w:t>
            </w:r>
            <w:proofErr w:type="gramStart"/>
            <w:r>
              <w:rPr>
                <w:sz w:val="22"/>
                <w:szCs w:val="22"/>
              </w:rPr>
              <w:t>case</w:t>
            </w:r>
            <w:proofErr w:type="gramEnd"/>
            <w:r>
              <w:rPr>
                <w:sz w:val="22"/>
                <w:szCs w:val="22"/>
              </w:rPr>
              <w:t xml:space="preserve"> “The international Court of Justice (ICJ)” would be appropriate.</w:t>
            </w:r>
          </w:p>
        </w:tc>
      </w:tr>
      <w:tr w:rsidR="00804B50" w:rsidRPr="00AD22DE" w14:paraId="17A72A45" w14:textId="77777777" w:rsidTr="00135D96">
        <w:trPr>
          <w:cantSplit/>
          <w:trHeight w:val="233"/>
        </w:trPr>
        <w:tc>
          <w:tcPr>
            <w:tcW w:w="918" w:type="dxa"/>
          </w:tcPr>
          <w:p w14:paraId="552B13BE" w14:textId="7830BBF5" w:rsidR="00804B50" w:rsidRPr="00F86F63" w:rsidRDefault="00804B50" w:rsidP="00804B50">
            <w:pPr>
              <w:rPr>
                <w:sz w:val="22"/>
                <w:szCs w:val="22"/>
              </w:rPr>
            </w:pPr>
            <w:r>
              <w:rPr>
                <w:sz w:val="22"/>
                <w:szCs w:val="22"/>
              </w:rPr>
              <w:t>111</w:t>
            </w:r>
          </w:p>
        </w:tc>
        <w:tc>
          <w:tcPr>
            <w:tcW w:w="1125" w:type="dxa"/>
          </w:tcPr>
          <w:p w14:paraId="70A13F7B" w14:textId="00A7AB3B" w:rsidR="00804B50" w:rsidRPr="00F86F63" w:rsidRDefault="00804B50" w:rsidP="00804B50">
            <w:pPr>
              <w:rPr>
                <w:sz w:val="22"/>
                <w:szCs w:val="22"/>
              </w:rPr>
            </w:pPr>
            <w:r>
              <w:rPr>
                <w:sz w:val="22"/>
                <w:szCs w:val="22"/>
              </w:rPr>
              <w:t>20-21</w:t>
            </w:r>
          </w:p>
        </w:tc>
        <w:tc>
          <w:tcPr>
            <w:tcW w:w="8145" w:type="dxa"/>
            <w:gridSpan w:val="2"/>
          </w:tcPr>
          <w:p w14:paraId="750D3B41" w14:textId="3B60A869" w:rsidR="00804B50" w:rsidRPr="00F86F63" w:rsidRDefault="00804B50" w:rsidP="00804B50">
            <w:pPr>
              <w:rPr>
                <w:sz w:val="22"/>
                <w:szCs w:val="22"/>
              </w:rPr>
            </w:pPr>
            <w:r>
              <w:rPr>
                <w:sz w:val="22"/>
                <w:szCs w:val="22"/>
              </w:rPr>
              <w:t>Awkward phrasing. Consider “</w:t>
            </w:r>
            <w:r w:rsidRPr="00DD1702">
              <w:rPr>
                <w:sz w:val="22"/>
              </w:rPr>
              <w:t>The Indigenous and Tribal Peoples Convention, 1989 (No. 169), also known as ILO-Convention 169, is an International Labour Organization Convention which as of March 2021 has been ratified by 23 countries.”</w:t>
            </w:r>
          </w:p>
        </w:tc>
      </w:tr>
      <w:tr w:rsidR="00804B50" w:rsidRPr="00AD22DE" w14:paraId="3A7F50A5" w14:textId="77777777" w:rsidTr="00135D96">
        <w:trPr>
          <w:cantSplit/>
          <w:trHeight w:val="233"/>
        </w:trPr>
        <w:tc>
          <w:tcPr>
            <w:tcW w:w="918" w:type="dxa"/>
          </w:tcPr>
          <w:p w14:paraId="6F67C8FC" w14:textId="0629A3E8" w:rsidR="00804B50" w:rsidRPr="00F86F63" w:rsidRDefault="00804B50" w:rsidP="00804B50">
            <w:pPr>
              <w:rPr>
                <w:sz w:val="22"/>
                <w:szCs w:val="22"/>
              </w:rPr>
            </w:pPr>
            <w:r>
              <w:rPr>
                <w:sz w:val="22"/>
                <w:szCs w:val="22"/>
              </w:rPr>
              <w:t>133</w:t>
            </w:r>
          </w:p>
        </w:tc>
        <w:tc>
          <w:tcPr>
            <w:tcW w:w="1125" w:type="dxa"/>
          </w:tcPr>
          <w:p w14:paraId="7B965B56" w14:textId="0681BF78" w:rsidR="00804B50" w:rsidRPr="00F86F63" w:rsidRDefault="00804B50" w:rsidP="00804B50">
            <w:pPr>
              <w:rPr>
                <w:sz w:val="22"/>
                <w:szCs w:val="22"/>
              </w:rPr>
            </w:pPr>
            <w:r>
              <w:rPr>
                <w:sz w:val="22"/>
                <w:szCs w:val="22"/>
              </w:rPr>
              <w:t>30</w:t>
            </w:r>
          </w:p>
        </w:tc>
        <w:tc>
          <w:tcPr>
            <w:tcW w:w="8145" w:type="dxa"/>
            <w:gridSpan w:val="2"/>
          </w:tcPr>
          <w:p w14:paraId="523AF2BE" w14:textId="3A9B1D4F" w:rsidR="00804B50" w:rsidRPr="00F86F63" w:rsidRDefault="00804B50" w:rsidP="00804B50">
            <w:pPr>
              <w:rPr>
                <w:sz w:val="22"/>
                <w:szCs w:val="22"/>
              </w:rPr>
            </w:pPr>
            <w:r>
              <w:rPr>
                <w:sz w:val="22"/>
                <w:szCs w:val="22"/>
              </w:rPr>
              <w:t xml:space="preserve">“Fully” does not need to </w:t>
            </w:r>
            <w:proofErr w:type="gramStart"/>
            <w:r>
              <w:rPr>
                <w:sz w:val="22"/>
                <w:szCs w:val="22"/>
              </w:rPr>
              <w:t>be placed</w:t>
            </w:r>
            <w:proofErr w:type="gramEnd"/>
            <w:r>
              <w:rPr>
                <w:sz w:val="22"/>
                <w:szCs w:val="22"/>
              </w:rPr>
              <w:t xml:space="preserve"> in parentheses. </w:t>
            </w:r>
          </w:p>
        </w:tc>
      </w:tr>
      <w:tr w:rsidR="00DD1702" w:rsidRPr="00AD22DE" w14:paraId="27D65F93" w14:textId="77777777" w:rsidTr="00135D96">
        <w:trPr>
          <w:cantSplit/>
          <w:trHeight w:val="233"/>
        </w:trPr>
        <w:tc>
          <w:tcPr>
            <w:tcW w:w="918" w:type="dxa"/>
          </w:tcPr>
          <w:p w14:paraId="6FEE838D" w14:textId="499D9A47" w:rsidR="00DD1702" w:rsidRPr="00F86F63" w:rsidRDefault="00DD1702" w:rsidP="00804B50">
            <w:pPr>
              <w:rPr>
                <w:sz w:val="22"/>
                <w:szCs w:val="22"/>
              </w:rPr>
            </w:pPr>
          </w:p>
        </w:tc>
        <w:tc>
          <w:tcPr>
            <w:tcW w:w="1125" w:type="dxa"/>
          </w:tcPr>
          <w:p w14:paraId="2C39B009" w14:textId="3E3482F7" w:rsidR="00DD1702" w:rsidRPr="00F86F63" w:rsidRDefault="00DD1702" w:rsidP="00804B50">
            <w:pPr>
              <w:rPr>
                <w:sz w:val="22"/>
                <w:szCs w:val="22"/>
              </w:rPr>
            </w:pPr>
          </w:p>
        </w:tc>
        <w:tc>
          <w:tcPr>
            <w:tcW w:w="8145" w:type="dxa"/>
            <w:gridSpan w:val="2"/>
          </w:tcPr>
          <w:p w14:paraId="3C230DD4" w14:textId="7E5BB63F" w:rsidR="00DD1702" w:rsidRPr="00F86F63" w:rsidRDefault="00DD1702" w:rsidP="00804B50">
            <w:pPr>
              <w:rPr>
                <w:sz w:val="22"/>
                <w:szCs w:val="22"/>
              </w:rPr>
            </w:pPr>
          </w:p>
        </w:tc>
      </w:tr>
    </w:tbl>
    <w:p w14:paraId="6E675E30" w14:textId="77777777" w:rsidR="00593BC6" w:rsidRDefault="00593BC6" w:rsidP="00593BC6">
      <w:pPr>
        <w:tabs>
          <w:tab w:val="left" w:pos="7020"/>
        </w:tabs>
        <w:ind w:right="44"/>
        <w:jc w:val="both"/>
        <w:rPr>
          <w:szCs w:val="22"/>
        </w:rPr>
      </w:pPr>
    </w:p>
    <w:p w14:paraId="0E955578" w14:textId="77777777" w:rsidR="00593BC6" w:rsidRDefault="00593BC6" w:rsidP="00593BC6">
      <w:pPr>
        <w:tabs>
          <w:tab w:val="left" w:pos="7020"/>
        </w:tabs>
        <w:ind w:right="44"/>
        <w:jc w:val="both"/>
        <w:rPr>
          <w:szCs w:val="22"/>
        </w:rPr>
      </w:pPr>
    </w:p>
    <w:p w14:paraId="11FCA427" w14:textId="77777777" w:rsidR="00593BC6" w:rsidRDefault="00593BC6" w:rsidP="00593BC6">
      <w:pPr>
        <w:tabs>
          <w:tab w:val="left" w:pos="7020"/>
        </w:tabs>
        <w:ind w:right="44"/>
        <w:jc w:val="both"/>
        <w:rPr>
          <w:szCs w:val="22"/>
        </w:rPr>
      </w:pPr>
    </w:p>
    <w:p w14:paraId="2432318E" w14:textId="1E7BC26A" w:rsidR="004D6145" w:rsidRPr="00593BC6" w:rsidRDefault="00593BC6" w:rsidP="004B6042">
      <w:pPr>
        <w:pStyle w:val="Footer"/>
        <w:jc w:val="center"/>
        <w:rPr>
          <w:lang w:val="en-CA"/>
        </w:rPr>
      </w:pPr>
      <w:r w:rsidRPr="00C658CD">
        <w:rPr>
          <w:sz w:val="22"/>
          <w:szCs w:val="22"/>
          <w:lang w:val="en-CA"/>
        </w:rPr>
        <w:t xml:space="preserve">Please submit your comments to </w:t>
      </w:r>
      <w:hyperlink r:id="rId9" w:history="1">
        <w:r w:rsidRPr="00C658CD">
          <w:rPr>
            <w:rStyle w:val="Hyperlink"/>
            <w:sz w:val="22"/>
            <w:szCs w:val="22"/>
            <w:lang w:val="en-CA"/>
          </w:rPr>
          <w:t>secretariat@cbd.int</w:t>
        </w:r>
      </w:hyperlink>
      <w:r w:rsidRPr="00C658CD">
        <w:rPr>
          <w:sz w:val="22"/>
          <w:szCs w:val="22"/>
          <w:lang w:val="en-CA"/>
        </w:rPr>
        <w:t>.</w:t>
      </w:r>
    </w:p>
    <w:sectPr w:rsidR="004D6145" w:rsidRPr="00593BC6" w:rsidSect="00EA105F">
      <w:headerReference w:type="first" r:id="rId10"/>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26752" w14:textId="77777777" w:rsidR="00A54DBB" w:rsidRDefault="00A54DBB" w:rsidP="00593BC6">
      <w:r>
        <w:separator/>
      </w:r>
    </w:p>
  </w:endnote>
  <w:endnote w:type="continuationSeparator" w:id="0">
    <w:p w14:paraId="764B1D7B" w14:textId="77777777" w:rsidR="00A54DBB" w:rsidRDefault="00A54DBB"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C0AD" w14:textId="77777777" w:rsidR="00A54DBB" w:rsidRDefault="00A54DBB" w:rsidP="00593BC6">
      <w:r>
        <w:separator/>
      </w:r>
    </w:p>
  </w:footnote>
  <w:footnote w:type="continuationSeparator" w:id="0">
    <w:p w14:paraId="236C58E3" w14:textId="77777777" w:rsidR="00A54DBB" w:rsidRDefault="00A54DBB" w:rsidP="0059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1991" w14:textId="77777777" w:rsidR="00EA105F" w:rsidRDefault="00EA105F" w:rsidP="00EA105F">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62E3D"/>
    <w:multiLevelType w:val="hybridMultilevel"/>
    <w:tmpl w:val="0AA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C6"/>
    <w:rsid w:val="00054613"/>
    <w:rsid w:val="00091F4D"/>
    <w:rsid w:val="000A54FC"/>
    <w:rsid w:val="000E2E07"/>
    <w:rsid w:val="00135D96"/>
    <w:rsid w:val="0018238B"/>
    <w:rsid w:val="0024383F"/>
    <w:rsid w:val="00293F84"/>
    <w:rsid w:val="0032155A"/>
    <w:rsid w:val="00363EF2"/>
    <w:rsid w:val="003925B2"/>
    <w:rsid w:val="00393449"/>
    <w:rsid w:val="003C5737"/>
    <w:rsid w:val="00430349"/>
    <w:rsid w:val="004B6042"/>
    <w:rsid w:val="004D6145"/>
    <w:rsid w:val="004E426F"/>
    <w:rsid w:val="00524BE0"/>
    <w:rsid w:val="005411E6"/>
    <w:rsid w:val="00581284"/>
    <w:rsid w:val="00593BC6"/>
    <w:rsid w:val="00594E31"/>
    <w:rsid w:val="005C4C24"/>
    <w:rsid w:val="00652D1D"/>
    <w:rsid w:val="00735FF1"/>
    <w:rsid w:val="00780EC4"/>
    <w:rsid w:val="00804B50"/>
    <w:rsid w:val="0081465F"/>
    <w:rsid w:val="00854B69"/>
    <w:rsid w:val="00872EB7"/>
    <w:rsid w:val="008C05B8"/>
    <w:rsid w:val="00991F51"/>
    <w:rsid w:val="009E4074"/>
    <w:rsid w:val="00A05BE6"/>
    <w:rsid w:val="00A545C6"/>
    <w:rsid w:val="00A54DBB"/>
    <w:rsid w:val="00AD22DE"/>
    <w:rsid w:val="00B30682"/>
    <w:rsid w:val="00B373CC"/>
    <w:rsid w:val="00B662B0"/>
    <w:rsid w:val="00BB14D8"/>
    <w:rsid w:val="00BD5D26"/>
    <w:rsid w:val="00C33566"/>
    <w:rsid w:val="00CE6690"/>
    <w:rsid w:val="00D51C41"/>
    <w:rsid w:val="00D60758"/>
    <w:rsid w:val="00D97576"/>
    <w:rsid w:val="00DD1702"/>
    <w:rsid w:val="00DD4F55"/>
    <w:rsid w:val="00E227B2"/>
    <w:rsid w:val="00E50356"/>
    <w:rsid w:val="00EA105F"/>
    <w:rsid w:val="00F73C17"/>
    <w:rsid w:val="00F754C0"/>
    <w:rsid w:val="00F8658F"/>
    <w:rsid w:val="00F86F63"/>
    <w:rsid w:val="00F94D0C"/>
    <w:rsid w:val="00FB07C1"/>
    <w:rsid w:val="00FB1BA9"/>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5135"/>
  <w15:docId w15:val="{2EF4503E-AC8B-4C4E-A148-C22CF59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C6"/>
    <w:pPr>
      <w:tabs>
        <w:tab w:val="center" w:pos="4320"/>
        <w:tab w:val="right" w:pos="8640"/>
      </w:tabs>
    </w:pPr>
  </w:style>
  <w:style w:type="character" w:customStyle="1" w:styleId="HeaderChar">
    <w:name w:val="Header Char"/>
    <w:link w:val="Header"/>
    <w:rsid w:val="00593BC6"/>
    <w:rPr>
      <w:rFonts w:ascii="Times New Roman" w:eastAsia="Times New Roman" w:hAnsi="Times New Roman" w:cs="Times New Roman"/>
      <w:sz w:val="24"/>
      <w:szCs w:val="24"/>
      <w:lang w:val="en-GB" w:eastAsia="en-CA"/>
    </w:rPr>
  </w:style>
  <w:style w:type="paragraph" w:styleId="Footer">
    <w:name w:val="footer"/>
    <w:basedOn w:val="Normal"/>
    <w:link w:val="FooterChar"/>
    <w:rsid w:val="00593BC6"/>
    <w:pPr>
      <w:tabs>
        <w:tab w:val="center" w:pos="4320"/>
        <w:tab w:val="right" w:pos="8640"/>
      </w:tabs>
    </w:pPr>
  </w:style>
  <w:style w:type="character" w:customStyle="1" w:styleId="FooterChar">
    <w:name w:val="Footer Char"/>
    <w:link w:val="Footer"/>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unhideWhenUsed/>
    <w:rsid w:val="0005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3"/>
    <w:rPr>
      <w:rFonts w:ascii="Segoe UI" w:eastAsia="Times New Roman" w:hAnsi="Segoe UI" w:cs="Segoe UI"/>
      <w:sz w:val="18"/>
      <w:szCs w:val="18"/>
      <w:lang w:val="en-GB"/>
    </w:rPr>
  </w:style>
  <w:style w:type="paragraph" w:styleId="ListParagraph">
    <w:name w:val="List Paragraph"/>
    <w:basedOn w:val="Normal"/>
    <w:uiPriority w:val="34"/>
    <w:qFormat/>
    <w:rsid w:val="0018238B"/>
    <w:pPr>
      <w:spacing w:after="200" w:line="276" w:lineRule="auto"/>
      <w:ind w:left="720"/>
    </w:pPr>
    <w:rPr>
      <w:rFonts w:ascii="Calibri" w:eastAsiaTheme="minorHAnsi" w:hAnsi="Calibri" w:cs="Calibri"/>
      <w:sz w:val="22"/>
      <w:szCs w:val="22"/>
      <w:lang w:val="en-US" w:eastAsia="en-US"/>
    </w:rPr>
  </w:style>
  <w:style w:type="character" w:customStyle="1" w:styleId="fontstyle01">
    <w:name w:val="fontstyle01"/>
    <w:basedOn w:val="DefaultParagraphFont"/>
    <w:rsid w:val="00804B50"/>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04B50"/>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genetically-modified-foods-other-novel-foods/approved-products/novel-food-information-cibus-canola-event-5715-imidazolinone-sulfonylurea-herbicide-tolerant.html" TargetMode="External"/><Relationship Id="rId3" Type="http://schemas.openxmlformats.org/officeDocument/2006/relationships/settings" Target="settings.xml"/><Relationship Id="rId7" Type="http://schemas.openxmlformats.org/officeDocument/2006/relationships/hyperlink" Target="https://inspection.canada.ca/plant-varieties/plants-with-novel-traits/approved-under-review/decision-documents/dd-2013-100/eng/1427383332253/14273836746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iat@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1761</Words>
  <Characters>10044</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SCBD</Company>
  <LinksUpToDate>false</LinksUpToDate>
  <CharactersWithSpaces>11782</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Kathryn Davis</cp:lastModifiedBy>
  <cp:revision>5</cp:revision>
  <dcterms:created xsi:type="dcterms:W3CDTF">2021-06-08T15:31:00Z</dcterms:created>
  <dcterms:modified xsi:type="dcterms:W3CDTF">2021-06-08T19:00:00Z</dcterms:modified>
</cp:coreProperties>
</file>