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A8" w:rsidRPr="0033351F" w:rsidRDefault="000433A8" w:rsidP="00887CA8">
      <w:pPr>
        <w:pStyle w:val="Encabezado"/>
        <w:spacing w:line="228" w:lineRule="auto"/>
        <w:ind w:left="-284" w:right="-377"/>
        <w:jc w:val="center"/>
        <w:rPr>
          <w:rFonts w:eastAsia="Calibri"/>
          <w:b/>
          <w:kern w:val="22"/>
          <w:sz w:val="22"/>
          <w:szCs w:val="22"/>
          <w:lang w:eastAsia="en-US"/>
        </w:rPr>
      </w:pPr>
      <w:r w:rsidRPr="006524D9">
        <w:rPr>
          <w:b/>
          <w:kern w:val="22"/>
          <w:sz w:val="22"/>
          <w:szCs w:val="22"/>
        </w:rPr>
        <w:t>T</w:t>
      </w:r>
      <w:r>
        <w:rPr>
          <w:b/>
          <w:kern w:val="22"/>
          <w:sz w:val="22"/>
          <w:szCs w:val="22"/>
        </w:rPr>
        <w:t xml:space="preserve">emplate for comments on the </w:t>
      </w:r>
      <w:r w:rsidR="00887CA8" w:rsidRPr="00887CA8">
        <w:rPr>
          <w:b/>
          <w:kern w:val="22"/>
          <w:sz w:val="22"/>
          <w:szCs w:val="22"/>
        </w:rPr>
        <w:t>Study on Financial Security Mechanisms under the Nagoya-Kuala Lumpur Supplementary Protocol</w:t>
      </w:r>
    </w:p>
    <w:p w:rsidR="000433A8" w:rsidRDefault="000433A8" w:rsidP="000433A8">
      <w:pPr>
        <w:ind w:left="-284" w:right="-377"/>
      </w:pPr>
    </w:p>
    <w:tbl>
      <w:tblPr>
        <w:tblW w:w="133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040"/>
        <w:gridCol w:w="9917"/>
      </w:tblGrid>
      <w:tr w:rsidR="000433A8" w:rsidRPr="006C613A" w:rsidTr="0014018D">
        <w:tc>
          <w:tcPr>
            <w:tcW w:w="13325" w:type="dxa"/>
            <w:gridSpan w:val="3"/>
            <w:shd w:val="clear" w:color="auto" w:fill="BFBFBF"/>
          </w:tcPr>
          <w:p w:rsidR="000433A8" w:rsidRPr="006C613A" w:rsidRDefault="000433A8" w:rsidP="00686B53">
            <w:pPr>
              <w:ind w:left="38" w:right="-377"/>
              <w:rPr>
                <w:sz w:val="22"/>
                <w:szCs w:val="22"/>
              </w:rPr>
            </w:pPr>
            <w:r w:rsidRPr="006C613A">
              <w:rPr>
                <w:b/>
                <w:kern w:val="2"/>
                <w:sz w:val="22"/>
                <w:szCs w:val="22"/>
              </w:rPr>
              <w:t>Contact information</w:t>
            </w:r>
          </w:p>
        </w:tc>
      </w:tr>
      <w:tr w:rsidR="000433A8" w:rsidRPr="006C613A" w:rsidTr="0014018D">
        <w:tc>
          <w:tcPr>
            <w:tcW w:w="3408" w:type="dxa"/>
            <w:gridSpan w:val="2"/>
            <w:shd w:val="clear" w:color="auto" w:fill="auto"/>
          </w:tcPr>
          <w:p w:rsidR="000433A8" w:rsidRPr="006C613A" w:rsidRDefault="000433A8" w:rsidP="00686B53">
            <w:pPr>
              <w:ind w:left="38" w:right="-377"/>
              <w:rPr>
                <w:sz w:val="22"/>
                <w:szCs w:val="22"/>
              </w:rPr>
            </w:pPr>
            <w:r w:rsidRPr="006C613A">
              <w:rPr>
                <w:b/>
                <w:kern w:val="2"/>
                <w:sz w:val="22"/>
                <w:szCs w:val="22"/>
              </w:rPr>
              <w:t>Surname:</w:t>
            </w:r>
          </w:p>
        </w:tc>
        <w:tc>
          <w:tcPr>
            <w:tcW w:w="9917" w:type="dxa"/>
            <w:shd w:val="clear" w:color="auto" w:fill="auto"/>
          </w:tcPr>
          <w:p w:rsidR="000433A8" w:rsidRPr="006C613A" w:rsidRDefault="00680CC1" w:rsidP="00686B53">
            <w:pPr>
              <w:ind w:left="38" w:right="-377"/>
              <w:rPr>
                <w:sz w:val="22"/>
                <w:szCs w:val="22"/>
              </w:rPr>
            </w:pPr>
            <w:r>
              <w:rPr>
                <w:sz w:val="22"/>
                <w:szCs w:val="22"/>
              </w:rPr>
              <w:t>Martín de la Fuente</w:t>
            </w:r>
          </w:p>
        </w:tc>
      </w:tr>
      <w:tr w:rsidR="000433A8" w:rsidRPr="006C613A" w:rsidTr="0014018D">
        <w:tc>
          <w:tcPr>
            <w:tcW w:w="3408" w:type="dxa"/>
            <w:gridSpan w:val="2"/>
            <w:shd w:val="clear" w:color="auto" w:fill="auto"/>
          </w:tcPr>
          <w:p w:rsidR="000433A8" w:rsidRPr="006C613A" w:rsidRDefault="000433A8" w:rsidP="00686B53">
            <w:pPr>
              <w:ind w:left="38" w:right="-377"/>
              <w:rPr>
                <w:sz w:val="22"/>
                <w:szCs w:val="22"/>
              </w:rPr>
            </w:pPr>
          </w:p>
        </w:tc>
        <w:tc>
          <w:tcPr>
            <w:tcW w:w="9917" w:type="dxa"/>
            <w:shd w:val="clear" w:color="auto" w:fill="auto"/>
          </w:tcPr>
          <w:p w:rsidR="000433A8" w:rsidRPr="006C613A" w:rsidRDefault="000433A8" w:rsidP="00686B53">
            <w:pPr>
              <w:ind w:right="-377"/>
              <w:rPr>
                <w:sz w:val="22"/>
                <w:szCs w:val="22"/>
              </w:rPr>
            </w:pPr>
          </w:p>
        </w:tc>
      </w:tr>
      <w:tr w:rsidR="000433A8" w:rsidRPr="006C613A" w:rsidTr="0014018D">
        <w:tc>
          <w:tcPr>
            <w:tcW w:w="3408" w:type="dxa"/>
            <w:gridSpan w:val="2"/>
            <w:shd w:val="clear" w:color="auto" w:fill="auto"/>
          </w:tcPr>
          <w:p w:rsidR="000433A8" w:rsidRPr="006C613A" w:rsidRDefault="000433A8" w:rsidP="00686B53">
            <w:pPr>
              <w:ind w:left="38" w:right="-377"/>
              <w:rPr>
                <w:sz w:val="22"/>
                <w:szCs w:val="22"/>
              </w:rPr>
            </w:pPr>
            <w:r w:rsidRPr="006C613A">
              <w:rPr>
                <w:b/>
                <w:kern w:val="2"/>
                <w:sz w:val="22"/>
                <w:szCs w:val="22"/>
              </w:rPr>
              <w:t>Given Name:</w:t>
            </w:r>
          </w:p>
        </w:tc>
        <w:tc>
          <w:tcPr>
            <w:tcW w:w="9917" w:type="dxa"/>
            <w:shd w:val="clear" w:color="auto" w:fill="auto"/>
          </w:tcPr>
          <w:p w:rsidR="000433A8" w:rsidRPr="006C613A" w:rsidRDefault="00680CC1" w:rsidP="00686B53">
            <w:pPr>
              <w:ind w:left="38" w:right="-377"/>
              <w:rPr>
                <w:sz w:val="22"/>
                <w:szCs w:val="22"/>
              </w:rPr>
            </w:pPr>
            <w:r>
              <w:rPr>
                <w:sz w:val="22"/>
                <w:szCs w:val="22"/>
              </w:rPr>
              <w:t xml:space="preserve">Ana Judith </w:t>
            </w:r>
          </w:p>
        </w:tc>
      </w:tr>
      <w:tr w:rsidR="000433A8" w:rsidRPr="006C613A" w:rsidTr="0014018D">
        <w:tc>
          <w:tcPr>
            <w:tcW w:w="3408" w:type="dxa"/>
            <w:gridSpan w:val="2"/>
            <w:shd w:val="clear" w:color="auto" w:fill="auto"/>
          </w:tcPr>
          <w:p w:rsidR="000433A8" w:rsidRPr="006C613A" w:rsidRDefault="000433A8" w:rsidP="00686B53">
            <w:pPr>
              <w:ind w:left="38" w:right="-377"/>
              <w:rPr>
                <w:sz w:val="22"/>
                <w:szCs w:val="22"/>
              </w:rPr>
            </w:pPr>
          </w:p>
        </w:tc>
        <w:tc>
          <w:tcPr>
            <w:tcW w:w="9917" w:type="dxa"/>
            <w:shd w:val="clear" w:color="auto" w:fill="auto"/>
          </w:tcPr>
          <w:p w:rsidR="000433A8" w:rsidRPr="006C613A" w:rsidRDefault="000433A8" w:rsidP="00686B53">
            <w:pPr>
              <w:ind w:left="38" w:right="-377"/>
              <w:rPr>
                <w:sz w:val="22"/>
                <w:szCs w:val="22"/>
              </w:rPr>
            </w:pPr>
          </w:p>
        </w:tc>
      </w:tr>
      <w:tr w:rsidR="000433A8" w:rsidRPr="006C613A" w:rsidTr="0014018D">
        <w:tc>
          <w:tcPr>
            <w:tcW w:w="3408" w:type="dxa"/>
            <w:gridSpan w:val="2"/>
            <w:shd w:val="clear" w:color="auto" w:fill="auto"/>
          </w:tcPr>
          <w:p w:rsidR="000433A8" w:rsidRPr="006C613A" w:rsidRDefault="000433A8" w:rsidP="00686B53">
            <w:pPr>
              <w:ind w:left="38" w:right="-377"/>
              <w:rPr>
                <w:sz w:val="22"/>
                <w:szCs w:val="22"/>
              </w:rPr>
            </w:pPr>
            <w:r w:rsidRPr="006C613A">
              <w:rPr>
                <w:b/>
                <w:kern w:val="2"/>
                <w:sz w:val="22"/>
                <w:szCs w:val="22"/>
              </w:rPr>
              <w:t>Government</w:t>
            </w:r>
            <w:r w:rsidR="00887CA8">
              <w:rPr>
                <w:b/>
                <w:kern w:val="2"/>
                <w:sz w:val="22"/>
                <w:szCs w:val="22"/>
              </w:rPr>
              <w:t>/</w:t>
            </w:r>
            <w:r w:rsidR="00887CA8" w:rsidRPr="006C613A">
              <w:rPr>
                <w:b/>
                <w:kern w:val="2"/>
                <w:sz w:val="22"/>
                <w:szCs w:val="22"/>
              </w:rPr>
              <w:t>Organization</w:t>
            </w:r>
            <w:r w:rsidR="00887CA8">
              <w:rPr>
                <w:b/>
                <w:kern w:val="2"/>
                <w:sz w:val="22"/>
                <w:szCs w:val="22"/>
              </w:rPr>
              <w:t>/IPLC</w:t>
            </w:r>
            <w:r w:rsidRPr="006C613A">
              <w:rPr>
                <w:b/>
                <w:kern w:val="2"/>
                <w:sz w:val="22"/>
                <w:szCs w:val="22"/>
              </w:rPr>
              <w:t>:</w:t>
            </w:r>
          </w:p>
        </w:tc>
        <w:tc>
          <w:tcPr>
            <w:tcW w:w="9917" w:type="dxa"/>
            <w:shd w:val="clear" w:color="auto" w:fill="auto"/>
          </w:tcPr>
          <w:p w:rsidR="000433A8" w:rsidRPr="006C613A" w:rsidRDefault="004F6081" w:rsidP="00686B53">
            <w:pPr>
              <w:ind w:left="38" w:right="-377"/>
              <w:rPr>
                <w:sz w:val="22"/>
                <w:szCs w:val="22"/>
              </w:rPr>
            </w:pPr>
            <w:r>
              <w:rPr>
                <w:sz w:val="22"/>
                <w:szCs w:val="22"/>
              </w:rPr>
              <w:t>Spain</w:t>
            </w:r>
            <w:r w:rsidR="00680CC1">
              <w:rPr>
                <w:sz w:val="22"/>
                <w:szCs w:val="22"/>
              </w:rPr>
              <w:t xml:space="preserve">. Ministry of Agriculture, Food and Fisheries. </w:t>
            </w:r>
          </w:p>
        </w:tc>
      </w:tr>
      <w:tr w:rsidR="000433A8" w:rsidRPr="006C613A" w:rsidTr="0014018D">
        <w:tc>
          <w:tcPr>
            <w:tcW w:w="3408" w:type="dxa"/>
            <w:gridSpan w:val="2"/>
            <w:shd w:val="clear" w:color="auto" w:fill="auto"/>
          </w:tcPr>
          <w:p w:rsidR="000433A8" w:rsidRPr="006C613A" w:rsidRDefault="000433A8" w:rsidP="00686B53">
            <w:pPr>
              <w:ind w:left="38" w:right="-377"/>
              <w:rPr>
                <w:sz w:val="22"/>
                <w:szCs w:val="22"/>
              </w:rPr>
            </w:pPr>
          </w:p>
        </w:tc>
        <w:tc>
          <w:tcPr>
            <w:tcW w:w="9917" w:type="dxa"/>
            <w:shd w:val="clear" w:color="auto" w:fill="auto"/>
          </w:tcPr>
          <w:p w:rsidR="000433A8" w:rsidRPr="006C613A" w:rsidRDefault="000433A8" w:rsidP="00686B53">
            <w:pPr>
              <w:ind w:left="38" w:right="-377"/>
              <w:rPr>
                <w:sz w:val="22"/>
                <w:szCs w:val="22"/>
              </w:rPr>
            </w:pPr>
          </w:p>
        </w:tc>
      </w:tr>
      <w:tr w:rsidR="000433A8" w:rsidRPr="006C613A" w:rsidTr="0014018D">
        <w:tc>
          <w:tcPr>
            <w:tcW w:w="3408" w:type="dxa"/>
            <w:gridSpan w:val="2"/>
            <w:shd w:val="clear" w:color="auto" w:fill="auto"/>
          </w:tcPr>
          <w:p w:rsidR="000433A8" w:rsidRPr="006C613A" w:rsidRDefault="000433A8" w:rsidP="00686B53">
            <w:pPr>
              <w:ind w:left="38" w:right="-377"/>
              <w:rPr>
                <w:b/>
                <w:kern w:val="2"/>
                <w:sz w:val="22"/>
                <w:szCs w:val="22"/>
              </w:rPr>
            </w:pPr>
            <w:r w:rsidRPr="006C613A">
              <w:rPr>
                <w:b/>
                <w:kern w:val="2"/>
                <w:sz w:val="22"/>
                <w:szCs w:val="22"/>
              </w:rPr>
              <w:t>E-mail:</w:t>
            </w:r>
          </w:p>
        </w:tc>
        <w:tc>
          <w:tcPr>
            <w:tcW w:w="9917" w:type="dxa"/>
            <w:shd w:val="clear" w:color="auto" w:fill="auto"/>
          </w:tcPr>
          <w:p w:rsidR="000433A8" w:rsidRPr="006C613A" w:rsidRDefault="00680CC1" w:rsidP="00686B53">
            <w:pPr>
              <w:ind w:left="38" w:right="-377"/>
              <w:rPr>
                <w:sz w:val="22"/>
                <w:szCs w:val="22"/>
              </w:rPr>
            </w:pPr>
            <w:r w:rsidRPr="00680CC1">
              <w:rPr>
                <w:sz w:val="22"/>
                <w:szCs w:val="22"/>
              </w:rPr>
              <w:t>Protocolo.cartagena@mapa.es</w:t>
            </w:r>
            <w:bookmarkStart w:id="0" w:name="_GoBack"/>
            <w:bookmarkEnd w:id="0"/>
          </w:p>
        </w:tc>
      </w:tr>
      <w:tr w:rsidR="000433A8" w:rsidRPr="006C613A" w:rsidTr="0014018D">
        <w:tc>
          <w:tcPr>
            <w:tcW w:w="3408" w:type="dxa"/>
            <w:gridSpan w:val="2"/>
            <w:tcBorders>
              <w:bottom w:val="single" w:sz="4" w:space="0" w:color="auto"/>
            </w:tcBorders>
            <w:shd w:val="clear" w:color="auto" w:fill="auto"/>
          </w:tcPr>
          <w:p w:rsidR="000433A8" w:rsidRPr="006C613A" w:rsidRDefault="000433A8" w:rsidP="00686B53">
            <w:pPr>
              <w:ind w:left="-284" w:right="-377"/>
              <w:rPr>
                <w:bCs/>
                <w:kern w:val="2"/>
                <w:sz w:val="22"/>
                <w:szCs w:val="22"/>
              </w:rPr>
            </w:pPr>
          </w:p>
        </w:tc>
        <w:tc>
          <w:tcPr>
            <w:tcW w:w="9917" w:type="dxa"/>
            <w:shd w:val="clear" w:color="auto" w:fill="auto"/>
          </w:tcPr>
          <w:p w:rsidR="000433A8" w:rsidRPr="006C613A" w:rsidRDefault="000433A8" w:rsidP="00686B53">
            <w:pPr>
              <w:ind w:left="-284" w:right="-377"/>
              <w:rPr>
                <w:sz w:val="22"/>
                <w:szCs w:val="22"/>
              </w:rPr>
            </w:pPr>
          </w:p>
        </w:tc>
      </w:tr>
      <w:tr w:rsidR="000433A8" w:rsidRPr="006C613A" w:rsidTr="0014018D">
        <w:tc>
          <w:tcPr>
            <w:tcW w:w="13325" w:type="dxa"/>
            <w:gridSpan w:val="3"/>
            <w:shd w:val="clear" w:color="auto" w:fill="BFBFBF"/>
          </w:tcPr>
          <w:p w:rsidR="000433A8" w:rsidRPr="006C613A" w:rsidRDefault="000433A8" w:rsidP="00686B53">
            <w:pPr>
              <w:ind w:left="33" w:right="-377"/>
              <w:rPr>
                <w:sz w:val="22"/>
                <w:szCs w:val="22"/>
              </w:rPr>
            </w:pPr>
            <w:r w:rsidRPr="006C613A">
              <w:rPr>
                <w:b/>
                <w:kern w:val="2"/>
                <w:sz w:val="22"/>
                <w:szCs w:val="22"/>
              </w:rPr>
              <w:t xml:space="preserve">Comments on the </w:t>
            </w:r>
            <w:r w:rsidR="005B66E9">
              <w:rPr>
                <w:b/>
                <w:kern w:val="2"/>
                <w:sz w:val="22"/>
                <w:szCs w:val="22"/>
              </w:rPr>
              <w:t>text and Appendix</w:t>
            </w:r>
          </w:p>
        </w:tc>
      </w:tr>
      <w:tr w:rsidR="000433A8" w:rsidRPr="006C613A" w:rsidTr="0014018D">
        <w:tc>
          <w:tcPr>
            <w:tcW w:w="1368" w:type="dxa"/>
            <w:shd w:val="clear" w:color="auto" w:fill="auto"/>
          </w:tcPr>
          <w:p w:rsidR="000433A8" w:rsidRPr="006C613A" w:rsidRDefault="000433A8" w:rsidP="005B66E9">
            <w:pPr>
              <w:ind w:left="29" w:right="-644"/>
              <w:rPr>
                <w:b/>
                <w:kern w:val="2"/>
                <w:sz w:val="22"/>
                <w:szCs w:val="22"/>
              </w:rPr>
            </w:pPr>
            <w:r w:rsidRPr="006C613A">
              <w:rPr>
                <w:b/>
                <w:kern w:val="2"/>
                <w:sz w:val="22"/>
                <w:szCs w:val="22"/>
              </w:rPr>
              <w:t>Page #</w:t>
            </w:r>
          </w:p>
        </w:tc>
        <w:tc>
          <w:tcPr>
            <w:tcW w:w="2040" w:type="dxa"/>
            <w:shd w:val="clear" w:color="auto" w:fill="auto"/>
            <w:vAlign w:val="center"/>
          </w:tcPr>
          <w:p w:rsidR="000433A8" w:rsidRDefault="000433A8" w:rsidP="00686B53">
            <w:pPr>
              <w:tabs>
                <w:tab w:val="left" w:pos="325"/>
              </w:tabs>
              <w:ind w:left="41" w:right="-377"/>
              <w:rPr>
                <w:b/>
                <w:kern w:val="2"/>
                <w:sz w:val="22"/>
                <w:szCs w:val="22"/>
              </w:rPr>
            </w:pPr>
            <w:r>
              <w:rPr>
                <w:b/>
                <w:kern w:val="2"/>
                <w:sz w:val="22"/>
                <w:szCs w:val="22"/>
              </w:rPr>
              <w:t>Line in text</w:t>
            </w:r>
          </w:p>
          <w:p w:rsidR="000433A8" w:rsidRPr="006C613A" w:rsidRDefault="000433A8" w:rsidP="00686B53">
            <w:pPr>
              <w:tabs>
                <w:tab w:val="left" w:pos="325"/>
              </w:tabs>
              <w:ind w:left="41" w:right="-377"/>
              <w:rPr>
                <w:b/>
                <w:kern w:val="2"/>
                <w:sz w:val="22"/>
                <w:szCs w:val="22"/>
              </w:rPr>
            </w:pPr>
          </w:p>
        </w:tc>
        <w:tc>
          <w:tcPr>
            <w:tcW w:w="9917" w:type="dxa"/>
            <w:shd w:val="clear" w:color="auto" w:fill="auto"/>
          </w:tcPr>
          <w:p w:rsidR="000433A8" w:rsidRPr="006C613A" w:rsidRDefault="000433A8" w:rsidP="00686B53">
            <w:pPr>
              <w:ind w:left="160" w:right="-377"/>
              <w:rPr>
                <w:b/>
                <w:bCs/>
                <w:sz w:val="22"/>
                <w:szCs w:val="22"/>
              </w:rPr>
            </w:pPr>
            <w:r w:rsidRPr="006C613A">
              <w:rPr>
                <w:b/>
                <w:bCs/>
                <w:sz w:val="22"/>
                <w:szCs w:val="22"/>
              </w:rPr>
              <w:t>Comment</w:t>
            </w:r>
          </w:p>
        </w:tc>
      </w:tr>
      <w:tr w:rsidR="000433A8" w:rsidRPr="006C613A" w:rsidTr="0014018D">
        <w:tc>
          <w:tcPr>
            <w:tcW w:w="1368" w:type="dxa"/>
            <w:shd w:val="clear" w:color="auto" w:fill="auto"/>
            <w:vAlign w:val="center"/>
          </w:tcPr>
          <w:p w:rsidR="000433A8" w:rsidRPr="006C613A" w:rsidRDefault="00BC6E27" w:rsidP="005B66E9">
            <w:pPr>
              <w:tabs>
                <w:tab w:val="left" w:pos="29"/>
              </w:tabs>
              <w:ind w:left="29" w:right="-377" w:hanging="416"/>
              <w:jc w:val="center"/>
              <w:rPr>
                <w:bCs/>
                <w:kern w:val="2"/>
                <w:sz w:val="22"/>
                <w:szCs w:val="22"/>
              </w:rPr>
            </w:pPr>
            <w:r>
              <w:rPr>
                <w:bCs/>
                <w:kern w:val="2"/>
                <w:sz w:val="22"/>
                <w:szCs w:val="22"/>
              </w:rPr>
              <w:t>8</w:t>
            </w:r>
          </w:p>
        </w:tc>
        <w:tc>
          <w:tcPr>
            <w:tcW w:w="2040" w:type="dxa"/>
            <w:shd w:val="clear" w:color="auto" w:fill="auto"/>
            <w:vAlign w:val="center"/>
          </w:tcPr>
          <w:p w:rsidR="000433A8" w:rsidRPr="006C613A" w:rsidRDefault="00BC6E27" w:rsidP="00BC6E27">
            <w:pPr>
              <w:ind w:right="-377"/>
              <w:jc w:val="center"/>
              <w:rPr>
                <w:bCs/>
                <w:kern w:val="2"/>
                <w:sz w:val="22"/>
                <w:szCs w:val="22"/>
              </w:rPr>
            </w:pPr>
            <w:r>
              <w:rPr>
                <w:bCs/>
                <w:kern w:val="2"/>
                <w:sz w:val="22"/>
                <w:szCs w:val="22"/>
              </w:rPr>
              <w:t>13</w:t>
            </w:r>
          </w:p>
        </w:tc>
        <w:tc>
          <w:tcPr>
            <w:tcW w:w="9917" w:type="dxa"/>
            <w:shd w:val="clear" w:color="auto" w:fill="auto"/>
          </w:tcPr>
          <w:p w:rsidR="0014018D" w:rsidRPr="0014018D" w:rsidRDefault="0014018D" w:rsidP="0014018D">
            <w:pPr>
              <w:rPr>
                <w:color w:val="000000" w:themeColor="text1"/>
                <w:sz w:val="22"/>
                <w:szCs w:val="22"/>
                <w:lang w:eastAsia="en-GB"/>
              </w:rPr>
            </w:pPr>
            <w:r w:rsidRPr="0014018D">
              <w:rPr>
                <w:color w:val="000000" w:themeColor="text1"/>
                <w:sz w:val="22"/>
                <w:szCs w:val="22"/>
              </w:rPr>
              <w:t xml:space="preserve">We understand that the scarcity of examples in the literature, makes difficult to base the study on examples that stick to the scope of the Protocol. However, Spain is of the opinion that the </w:t>
            </w:r>
            <w:r w:rsidRPr="0014018D">
              <w:rPr>
                <w:i/>
                <w:color w:val="000000" w:themeColor="text1"/>
                <w:sz w:val="22"/>
                <w:szCs w:val="22"/>
              </w:rPr>
              <w:t>'traditional damage that would be suffered by non-GM farmers who are confronted with GM comingling'</w:t>
            </w:r>
            <w:r w:rsidRPr="0014018D">
              <w:rPr>
                <w:color w:val="000000" w:themeColor="text1"/>
                <w:sz w:val="22"/>
                <w:szCs w:val="22"/>
              </w:rPr>
              <w:t xml:space="preserve"> SHOULD NOT be put as an example in this context. To start with, the damage that these farmers would suffer from possible contamination with LMOs should be directly related to the conservation and sustainable use of biological diversity, as stated</w:t>
            </w:r>
            <w:r>
              <w:rPr>
                <w:color w:val="000000" w:themeColor="text1"/>
                <w:sz w:val="22"/>
                <w:szCs w:val="22"/>
              </w:rPr>
              <w:t xml:space="preserve"> in the Supplementary Protocol.</w:t>
            </w:r>
          </w:p>
          <w:p w:rsidR="0014018D" w:rsidRPr="0014018D" w:rsidRDefault="0014018D" w:rsidP="0014018D">
            <w:pPr>
              <w:rPr>
                <w:color w:val="000000" w:themeColor="text1"/>
                <w:sz w:val="22"/>
                <w:szCs w:val="22"/>
              </w:rPr>
            </w:pPr>
            <w:r w:rsidRPr="0014018D">
              <w:rPr>
                <w:color w:val="000000" w:themeColor="text1"/>
                <w:sz w:val="22"/>
                <w:szCs w:val="22"/>
              </w:rPr>
              <w:t xml:space="preserve">In any case, and if it is considered that giving such an example is absolutely necessary, it would be also important to specify that, taking into account the scope of the Supplementary Protocol, it would </w:t>
            </w:r>
            <w:r w:rsidRPr="0014018D">
              <w:rPr>
                <w:color w:val="000000" w:themeColor="text1"/>
                <w:sz w:val="22"/>
                <w:szCs w:val="22"/>
                <w:u w:val="single"/>
              </w:rPr>
              <w:t>only</w:t>
            </w:r>
            <w:r w:rsidRPr="0014018D">
              <w:rPr>
                <w:color w:val="000000" w:themeColor="text1"/>
                <w:sz w:val="22"/>
                <w:szCs w:val="22"/>
              </w:rPr>
              <w:t xml:space="preserve"> apply to cases in which </w:t>
            </w:r>
            <w:r>
              <w:rPr>
                <w:color w:val="000000" w:themeColor="text1"/>
                <w:sz w:val="22"/>
                <w:szCs w:val="22"/>
              </w:rPr>
              <w:t>such</w:t>
            </w:r>
            <w:r w:rsidRPr="0014018D">
              <w:rPr>
                <w:color w:val="000000" w:themeColor="text1"/>
                <w:sz w:val="22"/>
                <w:szCs w:val="22"/>
              </w:rPr>
              <w:t xml:space="preserve"> damage could be associated with LMOs whose origin was a transboundary movement. Therefore</w:t>
            </w:r>
            <w:r>
              <w:rPr>
                <w:color w:val="000000" w:themeColor="text1"/>
                <w:sz w:val="22"/>
                <w:szCs w:val="22"/>
              </w:rPr>
              <w:t>,</w:t>
            </w:r>
            <w:r w:rsidRPr="0014018D">
              <w:rPr>
                <w:color w:val="000000" w:themeColor="text1"/>
                <w:sz w:val="22"/>
                <w:szCs w:val="22"/>
              </w:rPr>
              <w:t xml:space="preserve"> we understand that this issue</w:t>
            </w:r>
            <w:r>
              <w:rPr>
                <w:color w:val="000000" w:themeColor="text1"/>
                <w:sz w:val="22"/>
                <w:szCs w:val="22"/>
              </w:rPr>
              <w:t xml:space="preserve"> does not apply, for example, </w:t>
            </w:r>
            <w:r w:rsidRPr="0014018D">
              <w:rPr>
                <w:color w:val="000000" w:themeColor="text1"/>
                <w:sz w:val="22"/>
                <w:szCs w:val="22"/>
              </w:rPr>
              <w:t xml:space="preserve">to contamination damage from LMOs grown </w:t>
            </w:r>
            <w:r>
              <w:rPr>
                <w:color w:val="000000" w:themeColor="text1"/>
                <w:sz w:val="22"/>
                <w:szCs w:val="22"/>
              </w:rPr>
              <w:t>i</w:t>
            </w:r>
            <w:r w:rsidRPr="0014018D">
              <w:rPr>
                <w:color w:val="000000" w:themeColor="text1"/>
                <w:sz w:val="22"/>
                <w:szCs w:val="22"/>
              </w:rPr>
              <w:t xml:space="preserve">n one plot in one State Party to another plot in that </w:t>
            </w:r>
            <w:r>
              <w:rPr>
                <w:color w:val="000000" w:themeColor="text1"/>
                <w:sz w:val="22"/>
                <w:szCs w:val="22"/>
              </w:rPr>
              <w:t xml:space="preserve">very </w:t>
            </w:r>
            <w:r w:rsidRPr="0014018D">
              <w:rPr>
                <w:color w:val="000000" w:themeColor="text1"/>
                <w:sz w:val="22"/>
                <w:szCs w:val="22"/>
              </w:rPr>
              <w:t>same State Party.</w:t>
            </w:r>
          </w:p>
          <w:p w:rsidR="000433A8" w:rsidRPr="0014018D" w:rsidRDefault="000433A8" w:rsidP="00686B53">
            <w:pPr>
              <w:ind w:left="160" w:right="-377"/>
              <w:rPr>
                <w:color w:val="000000" w:themeColor="text1"/>
                <w:sz w:val="22"/>
                <w:szCs w:val="22"/>
              </w:rPr>
            </w:pPr>
          </w:p>
        </w:tc>
      </w:tr>
      <w:tr w:rsidR="000433A8" w:rsidRPr="006C613A" w:rsidTr="0014018D">
        <w:trPr>
          <w:trHeight w:val="615"/>
        </w:trPr>
        <w:tc>
          <w:tcPr>
            <w:tcW w:w="1368" w:type="dxa"/>
            <w:shd w:val="clear" w:color="auto" w:fill="auto"/>
            <w:vAlign w:val="center"/>
          </w:tcPr>
          <w:p w:rsidR="000433A8" w:rsidRPr="006C613A" w:rsidRDefault="0014018D" w:rsidP="005B66E9">
            <w:pPr>
              <w:tabs>
                <w:tab w:val="left" w:pos="29"/>
              </w:tabs>
              <w:ind w:left="29" w:right="-377" w:hanging="416"/>
              <w:jc w:val="center"/>
              <w:rPr>
                <w:bCs/>
                <w:kern w:val="2"/>
                <w:sz w:val="22"/>
                <w:szCs w:val="22"/>
              </w:rPr>
            </w:pPr>
            <w:r>
              <w:rPr>
                <w:bCs/>
                <w:kern w:val="2"/>
                <w:sz w:val="22"/>
                <w:szCs w:val="22"/>
              </w:rPr>
              <w:t>8</w:t>
            </w:r>
          </w:p>
        </w:tc>
        <w:tc>
          <w:tcPr>
            <w:tcW w:w="2040" w:type="dxa"/>
            <w:shd w:val="clear" w:color="auto" w:fill="auto"/>
            <w:vAlign w:val="center"/>
          </w:tcPr>
          <w:p w:rsidR="000433A8" w:rsidRPr="000433A8" w:rsidRDefault="0014018D" w:rsidP="0014018D">
            <w:pPr>
              <w:ind w:left="32" w:right="-377"/>
              <w:jc w:val="center"/>
              <w:rPr>
                <w:bCs/>
                <w:kern w:val="2"/>
                <w:sz w:val="22"/>
                <w:szCs w:val="22"/>
              </w:rPr>
            </w:pPr>
            <w:r>
              <w:rPr>
                <w:bCs/>
                <w:kern w:val="2"/>
                <w:sz w:val="22"/>
                <w:szCs w:val="22"/>
              </w:rPr>
              <w:t>15</w:t>
            </w:r>
          </w:p>
        </w:tc>
        <w:tc>
          <w:tcPr>
            <w:tcW w:w="9917" w:type="dxa"/>
            <w:shd w:val="clear" w:color="auto" w:fill="auto"/>
          </w:tcPr>
          <w:p w:rsidR="0014018D" w:rsidRDefault="0014018D" w:rsidP="0014018D">
            <w:pPr>
              <w:ind w:right="-377"/>
              <w:rPr>
                <w:color w:val="000000" w:themeColor="text1"/>
                <w:sz w:val="22"/>
                <w:szCs w:val="22"/>
              </w:rPr>
            </w:pPr>
            <w:r w:rsidRPr="0014018D">
              <w:rPr>
                <w:color w:val="000000" w:themeColor="text1"/>
                <w:sz w:val="22"/>
                <w:szCs w:val="22"/>
              </w:rPr>
              <w:t xml:space="preserve">Please </w:t>
            </w:r>
            <w:r>
              <w:rPr>
                <w:b/>
                <w:color w:val="000000" w:themeColor="text1"/>
                <w:sz w:val="22"/>
                <w:szCs w:val="22"/>
              </w:rPr>
              <w:t>replace</w:t>
            </w:r>
            <w:r w:rsidRPr="0014018D">
              <w:rPr>
                <w:color w:val="000000" w:themeColor="text1"/>
                <w:sz w:val="22"/>
                <w:szCs w:val="22"/>
              </w:rPr>
              <w:t xml:space="preserve"> </w:t>
            </w:r>
            <w:r>
              <w:rPr>
                <w:color w:val="000000" w:themeColor="text1"/>
                <w:sz w:val="22"/>
                <w:szCs w:val="22"/>
              </w:rPr>
              <w:t xml:space="preserve">‘may be less relevant’ with ‘are of little relevance’ </w:t>
            </w:r>
            <w:r w:rsidRPr="0014018D">
              <w:rPr>
                <w:color w:val="000000" w:themeColor="text1"/>
                <w:sz w:val="22"/>
                <w:szCs w:val="22"/>
              </w:rPr>
              <w:t>so that it reads</w:t>
            </w:r>
            <w:r>
              <w:rPr>
                <w:color w:val="000000" w:themeColor="text1"/>
                <w:sz w:val="22"/>
                <w:szCs w:val="22"/>
              </w:rPr>
              <w:t xml:space="preserve"> as follows</w:t>
            </w:r>
            <w:r w:rsidRPr="0014018D">
              <w:rPr>
                <w:color w:val="000000" w:themeColor="text1"/>
                <w:sz w:val="22"/>
                <w:szCs w:val="22"/>
              </w:rPr>
              <w:t>:</w:t>
            </w:r>
          </w:p>
          <w:p w:rsidR="0014018D" w:rsidRDefault="0014018D" w:rsidP="0014018D">
            <w:pPr>
              <w:ind w:right="-377"/>
              <w:rPr>
                <w:color w:val="000000" w:themeColor="text1"/>
                <w:sz w:val="22"/>
                <w:szCs w:val="22"/>
              </w:rPr>
            </w:pPr>
            <w:r w:rsidRPr="0014018D">
              <w:rPr>
                <w:color w:val="000000" w:themeColor="text1"/>
                <w:sz w:val="22"/>
                <w:szCs w:val="22"/>
              </w:rPr>
              <w:t xml:space="preserve">Even though these examples </w:t>
            </w:r>
            <w:r w:rsidRPr="0014018D">
              <w:rPr>
                <w:strike/>
              </w:rPr>
              <w:t>may be less relevant</w:t>
            </w:r>
            <w:r>
              <w:t xml:space="preserve"> </w:t>
            </w:r>
            <w:r w:rsidRPr="0014018D">
              <w:rPr>
                <w:color w:val="000000" w:themeColor="text1"/>
                <w:sz w:val="22"/>
                <w:szCs w:val="22"/>
                <w:u w:val="single"/>
              </w:rPr>
              <w:t>are of little relevance</w:t>
            </w:r>
            <w:r w:rsidRPr="0014018D">
              <w:rPr>
                <w:color w:val="000000" w:themeColor="text1"/>
                <w:sz w:val="22"/>
                <w:szCs w:val="22"/>
              </w:rPr>
              <w:t xml:space="preserve"> for the biodiversity damage covered</w:t>
            </w:r>
            <w:r>
              <w:rPr>
                <w:color w:val="000000" w:themeColor="text1"/>
                <w:sz w:val="22"/>
                <w:szCs w:val="22"/>
              </w:rPr>
              <w:t>…</w:t>
            </w:r>
            <w:r w:rsidRPr="0014018D">
              <w:rPr>
                <w:color w:val="000000" w:themeColor="text1"/>
                <w:sz w:val="22"/>
                <w:szCs w:val="22"/>
              </w:rPr>
              <w:t xml:space="preserve"> </w:t>
            </w:r>
          </w:p>
          <w:p w:rsidR="0014018D" w:rsidRPr="0014018D" w:rsidRDefault="0014018D" w:rsidP="0014018D">
            <w:pPr>
              <w:ind w:right="-377"/>
              <w:rPr>
                <w:color w:val="000000" w:themeColor="text1"/>
                <w:sz w:val="22"/>
                <w:szCs w:val="22"/>
              </w:rPr>
            </w:pPr>
          </w:p>
        </w:tc>
      </w:tr>
      <w:tr w:rsidR="00B14DF0" w:rsidRPr="006C613A" w:rsidTr="0014018D">
        <w:tc>
          <w:tcPr>
            <w:tcW w:w="1368" w:type="dxa"/>
            <w:shd w:val="clear" w:color="auto" w:fill="auto"/>
          </w:tcPr>
          <w:p w:rsidR="00B14DF0" w:rsidRPr="006C613A" w:rsidRDefault="0014018D" w:rsidP="00B14DF0">
            <w:pPr>
              <w:ind w:right="-377" w:firstLine="449"/>
              <w:rPr>
                <w:bCs/>
                <w:kern w:val="2"/>
                <w:sz w:val="22"/>
                <w:szCs w:val="22"/>
              </w:rPr>
            </w:pPr>
            <w:r>
              <w:rPr>
                <w:bCs/>
                <w:kern w:val="2"/>
                <w:sz w:val="22"/>
                <w:szCs w:val="22"/>
              </w:rPr>
              <w:t xml:space="preserve"> 8</w:t>
            </w:r>
          </w:p>
        </w:tc>
        <w:tc>
          <w:tcPr>
            <w:tcW w:w="2040" w:type="dxa"/>
            <w:shd w:val="clear" w:color="auto" w:fill="auto"/>
          </w:tcPr>
          <w:p w:rsidR="00B14DF0" w:rsidRPr="006C613A" w:rsidRDefault="0014018D" w:rsidP="0014018D">
            <w:pPr>
              <w:ind w:left="32" w:right="-377" w:firstLine="41"/>
              <w:jc w:val="center"/>
              <w:rPr>
                <w:bCs/>
                <w:kern w:val="2"/>
                <w:sz w:val="22"/>
                <w:szCs w:val="22"/>
              </w:rPr>
            </w:pPr>
            <w:r>
              <w:rPr>
                <w:bCs/>
                <w:kern w:val="2"/>
                <w:sz w:val="22"/>
                <w:szCs w:val="22"/>
              </w:rPr>
              <w:t>21</w:t>
            </w:r>
          </w:p>
        </w:tc>
        <w:tc>
          <w:tcPr>
            <w:tcW w:w="9917" w:type="dxa"/>
            <w:shd w:val="clear" w:color="auto" w:fill="auto"/>
          </w:tcPr>
          <w:p w:rsidR="0014018D" w:rsidRDefault="0014018D" w:rsidP="0014018D">
            <w:pPr>
              <w:rPr>
                <w:sz w:val="22"/>
                <w:szCs w:val="22"/>
              </w:rPr>
            </w:pPr>
            <w:r>
              <w:rPr>
                <w:sz w:val="22"/>
                <w:szCs w:val="22"/>
              </w:rPr>
              <w:t xml:space="preserve">Please </w:t>
            </w:r>
            <w:r w:rsidRPr="0014018D">
              <w:rPr>
                <w:b/>
                <w:sz w:val="22"/>
                <w:szCs w:val="22"/>
              </w:rPr>
              <w:t>delete</w:t>
            </w:r>
            <w:r>
              <w:rPr>
                <w:sz w:val="22"/>
                <w:szCs w:val="22"/>
              </w:rPr>
              <w:t xml:space="preserve"> ‘main’ so that it reads:</w:t>
            </w:r>
          </w:p>
          <w:p w:rsidR="00B14DF0" w:rsidRDefault="0014018D" w:rsidP="0014018D">
            <w:r>
              <w:rPr>
                <w:sz w:val="22"/>
                <w:szCs w:val="22"/>
              </w:rPr>
              <w:t>‘</w:t>
            </w:r>
            <w:r>
              <w:t xml:space="preserve">and that the </w:t>
            </w:r>
            <w:r w:rsidRPr="0014018D">
              <w:rPr>
                <w:strike/>
              </w:rPr>
              <w:t>main</w:t>
            </w:r>
            <w:r>
              <w:t xml:space="preserve"> focus’</w:t>
            </w:r>
          </w:p>
          <w:p w:rsidR="0014018D" w:rsidRPr="000433A8" w:rsidRDefault="0014018D" w:rsidP="0014018D">
            <w:pPr>
              <w:rPr>
                <w:sz w:val="22"/>
                <w:szCs w:val="22"/>
              </w:rPr>
            </w:pPr>
          </w:p>
        </w:tc>
      </w:tr>
      <w:tr w:rsidR="00B14DF0" w:rsidRPr="006C613A" w:rsidTr="0014018D">
        <w:tc>
          <w:tcPr>
            <w:tcW w:w="1368" w:type="dxa"/>
            <w:shd w:val="clear" w:color="auto" w:fill="auto"/>
          </w:tcPr>
          <w:p w:rsidR="00B14DF0" w:rsidRPr="006C613A" w:rsidRDefault="0014018D" w:rsidP="00B14DF0">
            <w:pPr>
              <w:ind w:left="29" w:right="-377" w:firstLine="420"/>
              <w:rPr>
                <w:bCs/>
                <w:kern w:val="2"/>
                <w:sz w:val="22"/>
                <w:szCs w:val="22"/>
              </w:rPr>
            </w:pPr>
            <w:r>
              <w:rPr>
                <w:bCs/>
                <w:kern w:val="2"/>
                <w:sz w:val="22"/>
                <w:szCs w:val="22"/>
              </w:rPr>
              <w:t>8</w:t>
            </w:r>
          </w:p>
        </w:tc>
        <w:tc>
          <w:tcPr>
            <w:tcW w:w="2040" w:type="dxa"/>
            <w:shd w:val="clear" w:color="auto" w:fill="auto"/>
          </w:tcPr>
          <w:p w:rsidR="00B14DF0" w:rsidRPr="006C613A" w:rsidRDefault="0014018D" w:rsidP="0014018D">
            <w:pPr>
              <w:ind w:left="32" w:right="-377"/>
              <w:jc w:val="center"/>
              <w:rPr>
                <w:bCs/>
                <w:kern w:val="2"/>
                <w:sz w:val="22"/>
                <w:szCs w:val="22"/>
              </w:rPr>
            </w:pPr>
            <w:r>
              <w:rPr>
                <w:bCs/>
                <w:kern w:val="2"/>
                <w:sz w:val="22"/>
                <w:szCs w:val="22"/>
              </w:rPr>
              <w:t>22</w:t>
            </w:r>
          </w:p>
        </w:tc>
        <w:tc>
          <w:tcPr>
            <w:tcW w:w="9917" w:type="dxa"/>
            <w:shd w:val="clear" w:color="auto" w:fill="auto"/>
          </w:tcPr>
          <w:p w:rsidR="00B14DF0" w:rsidRPr="0014018D" w:rsidRDefault="0014018D" w:rsidP="004F6081">
            <w:pPr>
              <w:ind w:right="-377"/>
              <w:rPr>
                <w:sz w:val="22"/>
                <w:szCs w:val="22"/>
              </w:rPr>
            </w:pPr>
            <w:r w:rsidRPr="0014018D">
              <w:rPr>
                <w:sz w:val="22"/>
                <w:szCs w:val="22"/>
              </w:rPr>
              <w:t xml:space="preserve">Please </w:t>
            </w:r>
            <w:r w:rsidRPr="0014018D">
              <w:rPr>
                <w:b/>
                <w:sz w:val="22"/>
                <w:szCs w:val="22"/>
              </w:rPr>
              <w:t>add</w:t>
            </w:r>
            <w:r w:rsidRPr="0014018D">
              <w:rPr>
                <w:sz w:val="22"/>
                <w:szCs w:val="22"/>
              </w:rPr>
              <w:t xml:space="preserve"> ‘associated to transboundary movements’ so that it reads:</w:t>
            </w:r>
          </w:p>
          <w:p w:rsidR="0014018D" w:rsidRDefault="0014018D" w:rsidP="004F6081">
            <w:pPr>
              <w:ind w:right="-377"/>
              <w:rPr>
                <w:sz w:val="22"/>
                <w:szCs w:val="22"/>
              </w:rPr>
            </w:pPr>
            <w:r w:rsidRPr="0014018D">
              <w:rPr>
                <w:sz w:val="22"/>
                <w:szCs w:val="22"/>
              </w:rPr>
              <w:t xml:space="preserve">‘of the NKLSP is on damage to biodiversity </w:t>
            </w:r>
            <w:r w:rsidRPr="0014018D">
              <w:rPr>
                <w:sz w:val="22"/>
                <w:szCs w:val="22"/>
                <w:u w:val="single"/>
              </w:rPr>
              <w:t>associated to transboundary movements</w:t>
            </w:r>
            <w:r w:rsidRPr="0014018D">
              <w:rPr>
                <w:sz w:val="22"/>
                <w:szCs w:val="22"/>
              </w:rPr>
              <w:t> rather than’</w:t>
            </w:r>
          </w:p>
          <w:p w:rsidR="0014018D" w:rsidRPr="0014018D" w:rsidRDefault="0014018D" w:rsidP="004F6081">
            <w:pPr>
              <w:ind w:right="-377"/>
              <w:rPr>
                <w:sz w:val="22"/>
                <w:szCs w:val="22"/>
              </w:rPr>
            </w:pPr>
          </w:p>
        </w:tc>
      </w:tr>
      <w:tr w:rsidR="00B14DF0" w:rsidRPr="006C613A" w:rsidTr="0014018D">
        <w:tc>
          <w:tcPr>
            <w:tcW w:w="1368" w:type="dxa"/>
            <w:shd w:val="clear" w:color="auto" w:fill="auto"/>
          </w:tcPr>
          <w:p w:rsidR="00B14DF0" w:rsidRPr="006C613A" w:rsidRDefault="00B14DF0" w:rsidP="00B14DF0">
            <w:pPr>
              <w:ind w:left="33" w:right="-377"/>
              <w:rPr>
                <w:bCs/>
                <w:kern w:val="2"/>
                <w:sz w:val="22"/>
                <w:szCs w:val="22"/>
              </w:rPr>
            </w:pPr>
          </w:p>
        </w:tc>
        <w:tc>
          <w:tcPr>
            <w:tcW w:w="2040" w:type="dxa"/>
            <w:shd w:val="clear" w:color="auto" w:fill="auto"/>
          </w:tcPr>
          <w:p w:rsidR="00B14DF0" w:rsidRPr="006C613A" w:rsidRDefault="00B14DF0" w:rsidP="00B14DF0">
            <w:pPr>
              <w:ind w:left="32" w:right="-377"/>
              <w:rPr>
                <w:bCs/>
                <w:kern w:val="2"/>
                <w:sz w:val="22"/>
                <w:szCs w:val="22"/>
              </w:rPr>
            </w:pPr>
          </w:p>
        </w:tc>
        <w:tc>
          <w:tcPr>
            <w:tcW w:w="9917" w:type="dxa"/>
            <w:shd w:val="clear" w:color="auto" w:fill="auto"/>
          </w:tcPr>
          <w:p w:rsidR="00B14DF0" w:rsidRPr="006C613A" w:rsidRDefault="00B14DF0" w:rsidP="00B14DF0">
            <w:pPr>
              <w:ind w:left="160" w:right="-377"/>
              <w:rPr>
                <w:sz w:val="22"/>
                <w:szCs w:val="22"/>
              </w:rPr>
            </w:pPr>
          </w:p>
        </w:tc>
      </w:tr>
      <w:tr w:rsidR="00B14DF0" w:rsidRPr="006C613A" w:rsidTr="0014018D">
        <w:tc>
          <w:tcPr>
            <w:tcW w:w="1368" w:type="dxa"/>
            <w:shd w:val="clear" w:color="auto" w:fill="auto"/>
          </w:tcPr>
          <w:p w:rsidR="00B14DF0" w:rsidRPr="006C613A" w:rsidRDefault="00B14DF0" w:rsidP="00B14DF0">
            <w:pPr>
              <w:ind w:left="33" w:right="-377"/>
              <w:rPr>
                <w:bCs/>
                <w:kern w:val="2"/>
                <w:sz w:val="22"/>
                <w:szCs w:val="22"/>
              </w:rPr>
            </w:pPr>
          </w:p>
        </w:tc>
        <w:tc>
          <w:tcPr>
            <w:tcW w:w="2040" w:type="dxa"/>
            <w:shd w:val="clear" w:color="auto" w:fill="auto"/>
          </w:tcPr>
          <w:p w:rsidR="00B14DF0" w:rsidRPr="006C613A" w:rsidRDefault="00B14DF0" w:rsidP="00B14DF0">
            <w:pPr>
              <w:ind w:left="32" w:right="-377"/>
              <w:rPr>
                <w:bCs/>
                <w:kern w:val="2"/>
                <w:sz w:val="22"/>
                <w:szCs w:val="22"/>
              </w:rPr>
            </w:pPr>
          </w:p>
        </w:tc>
        <w:tc>
          <w:tcPr>
            <w:tcW w:w="9917" w:type="dxa"/>
            <w:shd w:val="clear" w:color="auto" w:fill="auto"/>
          </w:tcPr>
          <w:p w:rsidR="00B14DF0" w:rsidRPr="006C613A" w:rsidRDefault="00B14DF0" w:rsidP="00B14DF0">
            <w:pPr>
              <w:ind w:left="160" w:right="-377"/>
              <w:rPr>
                <w:sz w:val="22"/>
                <w:szCs w:val="22"/>
              </w:rPr>
            </w:pPr>
          </w:p>
        </w:tc>
      </w:tr>
      <w:tr w:rsidR="00B14DF0" w:rsidRPr="006C613A" w:rsidTr="0014018D">
        <w:tc>
          <w:tcPr>
            <w:tcW w:w="1368" w:type="dxa"/>
            <w:shd w:val="clear" w:color="auto" w:fill="auto"/>
          </w:tcPr>
          <w:p w:rsidR="00B14DF0" w:rsidRPr="006C613A" w:rsidRDefault="00B14DF0" w:rsidP="00B14DF0">
            <w:pPr>
              <w:ind w:left="33" w:right="-377"/>
              <w:rPr>
                <w:bCs/>
                <w:kern w:val="2"/>
                <w:sz w:val="22"/>
                <w:szCs w:val="22"/>
              </w:rPr>
            </w:pPr>
          </w:p>
        </w:tc>
        <w:tc>
          <w:tcPr>
            <w:tcW w:w="2040" w:type="dxa"/>
            <w:shd w:val="clear" w:color="auto" w:fill="auto"/>
          </w:tcPr>
          <w:p w:rsidR="00B14DF0" w:rsidRPr="006C613A" w:rsidRDefault="00B14DF0" w:rsidP="00B14DF0">
            <w:pPr>
              <w:ind w:left="32" w:right="-377"/>
              <w:rPr>
                <w:bCs/>
                <w:kern w:val="2"/>
                <w:sz w:val="22"/>
                <w:szCs w:val="22"/>
              </w:rPr>
            </w:pPr>
          </w:p>
        </w:tc>
        <w:tc>
          <w:tcPr>
            <w:tcW w:w="9917" w:type="dxa"/>
            <w:shd w:val="clear" w:color="auto" w:fill="auto"/>
          </w:tcPr>
          <w:p w:rsidR="00B14DF0" w:rsidRPr="006C613A" w:rsidRDefault="00B14DF0" w:rsidP="00B14DF0">
            <w:pPr>
              <w:ind w:left="160" w:right="-377"/>
              <w:rPr>
                <w:sz w:val="22"/>
                <w:szCs w:val="22"/>
              </w:rPr>
            </w:pPr>
          </w:p>
        </w:tc>
      </w:tr>
      <w:tr w:rsidR="00B14DF0" w:rsidRPr="006C613A" w:rsidTr="0014018D">
        <w:tc>
          <w:tcPr>
            <w:tcW w:w="1368" w:type="dxa"/>
            <w:shd w:val="clear" w:color="auto" w:fill="auto"/>
          </w:tcPr>
          <w:p w:rsidR="00B14DF0" w:rsidRPr="006C613A" w:rsidRDefault="00B14DF0" w:rsidP="00B14DF0">
            <w:pPr>
              <w:ind w:left="33" w:right="-377"/>
              <w:rPr>
                <w:bCs/>
                <w:kern w:val="2"/>
                <w:sz w:val="22"/>
                <w:szCs w:val="22"/>
              </w:rPr>
            </w:pPr>
          </w:p>
        </w:tc>
        <w:tc>
          <w:tcPr>
            <w:tcW w:w="2040" w:type="dxa"/>
            <w:shd w:val="clear" w:color="auto" w:fill="auto"/>
          </w:tcPr>
          <w:p w:rsidR="00B14DF0" w:rsidRPr="006C613A" w:rsidRDefault="00B14DF0" w:rsidP="00B14DF0">
            <w:pPr>
              <w:ind w:left="32" w:right="-377"/>
              <w:rPr>
                <w:bCs/>
                <w:kern w:val="2"/>
                <w:sz w:val="22"/>
                <w:szCs w:val="22"/>
              </w:rPr>
            </w:pPr>
          </w:p>
        </w:tc>
        <w:tc>
          <w:tcPr>
            <w:tcW w:w="9917" w:type="dxa"/>
            <w:shd w:val="clear" w:color="auto" w:fill="auto"/>
          </w:tcPr>
          <w:p w:rsidR="00B14DF0" w:rsidRPr="006C613A" w:rsidRDefault="00B14DF0" w:rsidP="00B14DF0">
            <w:pPr>
              <w:ind w:left="160" w:right="-377"/>
              <w:rPr>
                <w:sz w:val="22"/>
                <w:szCs w:val="22"/>
              </w:rPr>
            </w:pPr>
          </w:p>
        </w:tc>
      </w:tr>
      <w:tr w:rsidR="00B14DF0" w:rsidRPr="006C613A" w:rsidTr="0014018D">
        <w:tc>
          <w:tcPr>
            <w:tcW w:w="1368" w:type="dxa"/>
            <w:shd w:val="clear" w:color="auto" w:fill="auto"/>
          </w:tcPr>
          <w:p w:rsidR="00B14DF0" w:rsidRPr="006C613A" w:rsidRDefault="00B14DF0" w:rsidP="00B14DF0">
            <w:pPr>
              <w:ind w:left="33" w:right="-377"/>
              <w:rPr>
                <w:bCs/>
                <w:kern w:val="2"/>
                <w:sz w:val="22"/>
                <w:szCs w:val="22"/>
              </w:rPr>
            </w:pPr>
          </w:p>
        </w:tc>
        <w:tc>
          <w:tcPr>
            <w:tcW w:w="2040" w:type="dxa"/>
            <w:shd w:val="clear" w:color="auto" w:fill="auto"/>
          </w:tcPr>
          <w:p w:rsidR="00B14DF0" w:rsidRPr="006C613A" w:rsidRDefault="00B14DF0" w:rsidP="00B14DF0">
            <w:pPr>
              <w:ind w:left="32" w:right="-377"/>
              <w:rPr>
                <w:bCs/>
                <w:kern w:val="2"/>
                <w:sz w:val="22"/>
                <w:szCs w:val="22"/>
              </w:rPr>
            </w:pPr>
          </w:p>
        </w:tc>
        <w:tc>
          <w:tcPr>
            <w:tcW w:w="9917" w:type="dxa"/>
            <w:shd w:val="clear" w:color="auto" w:fill="auto"/>
          </w:tcPr>
          <w:p w:rsidR="00B14DF0" w:rsidRPr="006C613A" w:rsidRDefault="00B14DF0" w:rsidP="00B14DF0">
            <w:pPr>
              <w:ind w:left="160" w:right="-377"/>
              <w:rPr>
                <w:sz w:val="22"/>
                <w:szCs w:val="22"/>
              </w:rPr>
            </w:pPr>
          </w:p>
        </w:tc>
      </w:tr>
      <w:tr w:rsidR="00B14DF0" w:rsidRPr="006C613A" w:rsidTr="0014018D">
        <w:tc>
          <w:tcPr>
            <w:tcW w:w="1368" w:type="dxa"/>
            <w:shd w:val="clear" w:color="auto" w:fill="auto"/>
          </w:tcPr>
          <w:p w:rsidR="00B14DF0" w:rsidRPr="006C613A" w:rsidRDefault="00B14DF0" w:rsidP="00B14DF0">
            <w:pPr>
              <w:ind w:left="33" w:right="-377"/>
              <w:rPr>
                <w:bCs/>
                <w:kern w:val="2"/>
                <w:sz w:val="22"/>
                <w:szCs w:val="22"/>
              </w:rPr>
            </w:pPr>
          </w:p>
        </w:tc>
        <w:tc>
          <w:tcPr>
            <w:tcW w:w="2040" w:type="dxa"/>
            <w:shd w:val="clear" w:color="auto" w:fill="auto"/>
          </w:tcPr>
          <w:p w:rsidR="00B14DF0" w:rsidRPr="006C613A" w:rsidRDefault="00B14DF0" w:rsidP="00B14DF0">
            <w:pPr>
              <w:ind w:left="32" w:right="-377"/>
              <w:rPr>
                <w:bCs/>
                <w:kern w:val="2"/>
                <w:sz w:val="22"/>
                <w:szCs w:val="22"/>
              </w:rPr>
            </w:pPr>
          </w:p>
        </w:tc>
        <w:tc>
          <w:tcPr>
            <w:tcW w:w="9917" w:type="dxa"/>
            <w:shd w:val="clear" w:color="auto" w:fill="auto"/>
          </w:tcPr>
          <w:p w:rsidR="00B14DF0" w:rsidRPr="006C613A" w:rsidRDefault="00B14DF0" w:rsidP="00B14DF0">
            <w:pPr>
              <w:ind w:left="160" w:right="-377"/>
              <w:rPr>
                <w:sz w:val="22"/>
                <w:szCs w:val="22"/>
              </w:rPr>
            </w:pPr>
          </w:p>
        </w:tc>
      </w:tr>
      <w:tr w:rsidR="00B14DF0" w:rsidRPr="006C613A" w:rsidTr="0014018D">
        <w:tc>
          <w:tcPr>
            <w:tcW w:w="1368" w:type="dxa"/>
            <w:shd w:val="clear" w:color="auto" w:fill="auto"/>
          </w:tcPr>
          <w:p w:rsidR="00B14DF0" w:rsidRPr="006C613A" w:rsidRDefault="00B14DF0" w:rsidP="00B14DF0">
            <w:pPr>
              <w:ind w:left="33" w:right="-377"/>
              <w:rPr>
                <w:bCs/>
                <w:kern w:val="2"/>
                <w:sz w:val="22"/>
                <w:szCs w:val="22"/>
              </w:rPr>
            </w:pPr>
          </w:p>
        </w:tc>
        <w:tc>
          <w:tcPr>
            <w:tcW w:w="2040" w:type="dxa"/>
            <w:shd w:val="clear" w:color="auto" w:fill="auto"/>
          </w:tcPr>
          <w:p w:rsidR="00B14DF0" w:rsidRPr="006C613A" w:rsidRDefault="00B14DF0" w:rsidP="00B14DF0">
            <w:pPr>
              <w:ind w:left="32" w:right="-377"/>
              <w:rPr>
                <w:bCs/>
                <w:kern w:val="2"/>
                <w:sz w:val="22"/>
                <w:szCs w:val="22"/>
              </w:rPr>
            </w:pPr>
          </w:p>
        </w:tc>
        <w:tc>
          <w:tcPr>
            <w:tcW w:w="9917" w:type="dxa"/>
            <w:shd w:val="clear" w:color="auto" w:fill="auto"/>
          </w:tcPr>
          <w:p w:rsidR="00B14DF0" w:rsidRPr="006C613A" w:rsidRDefault="00B14DF0" w:rsidP="00B14DF0">
            <w:pPr>
              <w:ind w:left="160" w:right="-377"/>
              <w:rPr>
                <w:sz w:val="22"/>
                <w:szCs w:val="22"/>
              </w:rPr>
            </w:pPr>
          </w:p>
        </w:tc>
      </w:tr>
      <w:tr w:rsidR="00B14DF0" w:rsidRPr="006C613A" w:rsidTr="0014018D">
        <w:tc>
          <w:tcPr>
            <w:tcW w:w="1368" w:type="dxa"/>
            <w:shd w:val="clear" w:color="auto" w:fill="auto"/>
          </w:tcPr>
          <w:p w:rsidR="00B14DF0" w:rsidRPr="006C613A" w:rsidRDefault="00B14DF0" w:rsidP="00B14DF0">
            <w:pPr>
              <w:ind w:left="33" w:right="-377"/>
              <w:rPr>
                <w:bCs/>
                <w:kern w:val="2"/>
                <w:sz w:val="22"/>
                <w:szCs w:val="22"/>
              </w:rPr>
            </w:pPr>
          </w:p>
        </w:tc>
        <w:tc>
          <w:tcPr>
            <w:tcW w:w="2040" w:type="dxa"/>
            <w:shd w:val="clear" w:color="auto" w:fill="auto"/>
          </w:tcPr>
          <w:p w:rsidR="00B14DF0" w:rsidRPr="006C613A" w:rsidRDefault="00B14DF0" w:rsidP="00B14DF0">
            <w:pPr>
              <w:ind w:left="32" w:right="-377"/>
              <w:rPr>
                <w:bCs/>
                <w:kern w:val="2"/>
                <w:sz w:val="22"/>
                <w:szCs w:val="22"/>
              </w:rPr>
            </w:pPr>
          </w:p>
        </w:tc>
        <w:tc>
          <w:tcPr>
            <w:tcW w:w="9917" w:type="dxa"/>
            <w:shd w:val="clear" w:color="auto" w:fill="auto"/>
          </w:tcPr>
          <w:p w:rsidR="00B14DF0" w:rsidRPr="006C613A" w:rsidRDefault="00B14DF0" w:rsidP="00B14DF0">
            <w:pPr>
              <w:ind w:left="160" w:right="-377"/>
              <w:rPr>
                <w:sz w:val="22"/>
                <w:szCs w:val="22"/>
              </w:rPr>
            </w:pPr>
          </w:p>
        </w:tc>
      </w:tr>
      <w:tr w:rsidR="00B14DF0" w:rsidRPr="006C613A" w:rsidTr="0014018D">
        <w:tc>
          <w:tcPr>
            <w:tcW w:w="1368" w:type="dxa"/>
            <w:shd w:val="clear" w:color="auto" w:fill="auto"/>
          </w:tcPr>
          <w:p w:rsidR="00B14DF0" w:rsidRPr="006C613A" w:rsidRDefault="00B14DF0" w:rsidP="00B14DF0">
            <w:pPr>
              <w:ind w:left="33" w:right="-377"/>
              <w:rPr>
                <w:bCs/>
                <w:kern w:val="2"/>
                <w:sz w:val="22"/>
                <w:szCs w:val="22"/>
              </w:rPr>
            </w:pPr>
          </w:p>
        </w:tc>
        <w:tc>
          <w:tcPr>
            <w:tcW w:w="2040" w:type="dxa"/>
            <w:shd w:val="clear" w:color="auto" w:fill="auto"/>
          </w:tcPr>
          <w:p w:rsidR="00B14DF0" w:rsidRPr="006C613A" w:rsidRDefault="00B14DF0" w:rsidP="00B14DF0">
            <w:pPr>
              <w:ind w:left="32" w:right="-377"/>
              <w:rPr>
                <w:bCs/>
                <w:kern w:val="2"/>
                <w:sz w:val="22"/>
                <w:szCs w:val="22"/>
              </w:rPr>
            </w:pPr>
          </w:p>
        </w:tc>
        <w:tc>
          <w:tcPr>
            <w:tcW w:w="9917" w:type="dxa"/>
            <w:shd w:val="clear" w:color="auto" w:fill="auto"/>
          </w:tcPr>
          <w:p w:rsidR="00B14DF0" w:rsidRPr="006C613A" w:rsidRDefault="00B14DF0" w:rsidP="00B14DF0">
            <w:pPr>
              <w:ind w:left="160" w:right="-377"/>
              <w:rPr>
                <w:sz w:val="22"/>
                <w:szCs w:val="22"/>
              </w:rPr>
            </w:pPr>
          </w:p>
        </w:tc>
      </w:tr>
      <w:tr w:rsidR="00B14DF0" w:rsidRPr="006C613A" w:rsidTr="0014018D">
        <w:tc>
          <w:tcPr>
            <w:tcW w:w="1368" w:type="dxa"/>
            <w:shd w:val="clear" w:color="auto" w:fill="auto"/>
          </w:tcPr>
          <w:p w:rsidR="00B14DF0" w:rsidRPr="006C613A" w:rsidRDefault="00B14DF0" w:rsidP="00B14DF0">
            <w:pPr>
              <w:ind w:left="33" w:right="-377"/>
              <w:rPr>
                <w:bCs/>
                <w:kern w:val="2"/>
                <w:sz w:val="22"/>
                <w:szCs w:val="22"/>
              </w:rPr>
            </w:pPr>
          </w:p>
        </w:tc>
        <w:tc>
          <w:tcPr>
            <w:tcW w:w="2040" w:type="dxa"/>
            <w:shd w:val="clear" w:color="auto" w:fill="auto"/>
          </w:tcPr>
          <w:p w:rsidR="00B14DF0" w:rsidRPr="006C613A" w:rsidRDefault="00B14DF0" w:rsidP="00B14DF0">
            <w:pPr>
              <w:ind w:left="32" w:right="-377"/>
              <w:rPr>
                <w:bCs/>
                <w:kern w:val="2"/>
                <w:sz w:val="22"/>
                <w:szCs w:val="22"/>
              </w:rPr>
            </w:pPr>
          </w:p>
        </w:tc>
        <w:tc>
          <w:tcPr>
            <w:tcW w:w="9917" w:type="dxa"/>
            <w:shd w:val="clear" w:color="auto" w:fill="auto"/>
          </w:tcPr>
          <w:p w:rsidR="00B14DF0" w:rsidRPr="006C613A" w:rsidRDefault="00B14DF0" w:rsidP="00B14DF0">
            <w:pPr>
              <w:ind w:left="160" w:right="-377"/>
              <w:rPr>
                <w:sz w:val="22"/>
                <w:szCs w:val="22"/>
              </w:rPr>
            </w:pPr>
          </w:p>
        </w:tc>
      </w:tr>
      <w:tr w:rsidR="00B14DF0" w:rsidRPr="006C613A" w:rsidTr="0014018D">
        <w:tc>
          <w:tcPr>
            <w:tcW w:w="1368" w:type="dxa"/>
            <w:shd w:val="clear" w:color="auto" w:fill="auto"/>
          </w:tcPr>
          <w:p w:rsidR="00B14DF0" w:rsidRPr="006C613A" w:rsidRDefault="00B14DF0" w:rsidP="00B14DF0">
            <w:pPr>
              <w:ind w:left="33" w:right="-377"/>
              <w:rPr>
                <w:bCs/>
                <w:kern w:val="2"/>
                <w:sz w:val="22"/>
                <w:szCs w:val="22"/>
              </w:rPr>
            </w:pPr>
          </w:p>
        </w:tc>
        <w:tc>
          <w:tcPr>
            <w:tcW w:w="2040" w:type="dxa"/>
            <w:shd w:val="clear" w:color="auto" w:fill="auto"/>
          </w:tcPr>
          <w:p w:rsidR="00B14DF0" w:rsidRPr="006C613A" w:rsidRDefault="00B14DF0" w:rsidP="00B14DF0">
            <w:pPr>
              <w:ind w:left="32" w:right="-377"/>
              <w:rPr>
                <w:bCs/>
                <w:kern w:val="2"/>
                <w:sz w:val="22"/>
                <w:szCs w:val="22"/>
              </w:rPr>
            </w:pPr>
          </w:p>
        </w:tc>
        <w:tc>
          <w:tcPr>
            <w:tcW w:w="9917" w:type="dxa"/>
            <w:shd w:val="clear" w:color="auto" w:fill="auto"/>
          </w:tcPr>
          <w:p w:rsidR="00B14DF0" w:rsidRPr="006C613A" w:rsidRDefault="00B14DF0" w:rsidP="00B14DF0">
            <w:pPr>
              <w:ind w:left="160" w:right="28"/>
              <w:rPr>
                <w:sz w:val="22"/>
                <w:szCs w:val="22"/>
              </w:rPr>
            </w:pPr>
          </w:p>
        </w:tc>
      </w:tr>
    </w:tbl>
    <w:p w:rsidR="000433A8" w:rsidRDefault="000433A8" w:rsidP="000433A8">
      <w:pPr>
        <w:ind w:left="-284" w:right="-377"/>
      </w:pPr>
    </w:p>
    <w:p w:rsidR="003F3FBF" w:rsidRPr="000433A8" w:rsidRDefault="000433A8" w:rsidP="005B66E9">
      <w:pPr>
        <w:tabs>
          <w:tab w:val="center" w:pos="4320"/>
          <w:tab w:val="right" w:pos="8640"/>
        </w:tabs>
        <w:ind w:left="-284" w:right="-377"/>
        <w:jc w:val="both"/>
        <w:rPr>
          <w:lang w:val="en-US"/>
        </w:rPr>
      </w:pPr>
      <w:r w:rsidRPr="006C613A">
        <w:rPr>
          <w:sz w:val="22"/>
          <w:szCs w:val="22"/>
          <w:lang w:val="en-CA"/>
        </w:rPr>
        <w:t xml:space="preserve">Please submit your comments to </w:t>
      </w:r>
      <w:hyperlink r:id="rId7" w:history="1">
        <w:r w:rsidRPr="006C613A">
          <w:rPr>
            <w:color w:val="0000FF"/>
            <w:sz w:val="22"/>
            <w:szCs w:val="22"/>
            <w:u w:val="single"/>
            <w:lang w:val="en-CA"/>
          </w:rPr>
          <w:t>secretariat@cbd.int</w:t>
        </w:r>
      </w:hyperlink>
      <w:r w:rsidRPr="006C613A">
        <w:rPr>
          <w:sz w:val="22"/>
          <w:szCs w:val="22"/>
          <w:lang w:val="en-CA"/>
        </w:rPr>
        <w:t xml:space="preserve"> by </w:t>
      </w:r>
      <w:r w:rsidR="00B14DF0">
        <w:rPr>
          <w:b/>
          <w:sz w:val="22"/>
          <w:szCs w:val="22"/>
          <w:highlight w:val="yellow"/>
          <w:lang w:val="en-CA"/>
        </w:rPr>
        <w:t>25 June</w:t>
      </w:r>
      <w:r w:rsidRPr="008F5D92">
        <w:rPr>
          <w:b/>
          <w:sz w:val="22"/>
          <w:szCs w:val="22"/>
          <w:highlight w:val="yellow"/>
          <w:lang w:val="en-CA"/>
        </w:rPr>
        <w:t xml:space="preserve"> 2020</w:t>
      </w:r>
      <w:r w:rsidRPr="006C613A">
        <w:rPr>
          <w:b/>
          <w:sz w:val="22"/>
          <w:szCs w:val="22"/>
          <w:lang w:val="en-CA"/>
        </w:rPr>
        <w:t>.</w:t>
      </w:r>
    </w:p>
    <w:sectPr w:rsidR="003F3FBF" w:rsidRPr="000433A8" w:rsidSect="0014018D">
      <w:headerReference w:type="first" r:id="rId8"/>
      <w:footerReference w:type="first" r:id="rId9"/>
      <w:type w:val="continuous"/>
      <w:pgSz w:w="15840" w:h="12240" w:orient="landscape" w:code="1"/>
      <w:pgMar w:top="1701" w:right="1417" w:bottom="1701" w:left="1417"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74" w:rsidRDefault="001D3F74">
      <w:r>
        <w:separator/>
      </w:r>
    </w:p>
  </w:endnote>
  <w:endnote w:type="continuationSeparator" w:id="0">
    <w:p w:rsidR="001D3F74" w:rsidRDefault="001D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8D" w:rsidRPr="00D72B8D" w:rsidRDefault="001D3F74">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74" w:rsidRDefault="001D3F74">
      <w:r>
        <w:separator/>
      </w:r>
    </w:p>
  </w:footnote>
  <w:footnote w:type="continuationSeparator" w:id="0">
    <w:p w:rsidR="001D3F74" w:rsidRDefault="001D3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07" w:rsidRDefault="001D3F74" w:rsidP="00C97C2D">
    <w:pPr>
      <w:pStyle w:val="Encabezado"/>
      <w:tabs>
        <w:tab w:val="clear" w:pos="8640"/>
        <w:tab w:val="right" w:pos="10260"/>
      </w:tabs>
      <w:spacing w:line="480" w:lineRule="auto"/>
      <w:ind w:left="-1260" w:right="-856"/>
      <w:jc w:val="center"/>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A8"/>
    <w:rsid w:val="000433A8"/>
    <w:rsid w:val="000A41A2"/>
    <w:rsid w:val="0014018D"/>
    <w:rsid w:val="001D3F74"/>
    <w:rsid w:val="00365AC9"/>
    <w:rsid w:val="003F3FBF"/>
    <w:rsid w:val="004F6081"/>
    <w:rsid w:val="00507ABE"/>
    <w:rsid w:val="00593E59"/>
    <w:rsid w:val="005B66E9"/>
    <w:rsid w:val="005C7711"/>
    <w:rsid w:val="0063078E"/>
    <w:rsid w:val="00680CC1"/>
    <w:rsid w:val="007F2197"/>
    <w:rsid w:val="00887CA8"/>
    <w:rsid w:val="008F5D92"/>
    <w:rsid w:val="009A57BE"/>
    <w:rsid w:val="009F5A3B"/>
    <w:rsid w:val="00A74780"/>
    <w:rsid w:val="00B14DF0"/>
    <w:rsid w:val="00BC6E27"/>
    <w:rsid w:val="00CC4D0D"/>
    <w:rsid w:val="00D53BF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0FBC7-1DE4-4F79-A943-CCF2B51F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A8"/>
    <w:pPr>
      <w:spacing w:after="0" w:line="240" w:lineRule="auto"/>
    </w:pPr>
    <w:rPr>
      <w:rFonts w:ascii="Times New Roman" w:eastAsia="Times New Roman" w:hAnsi="Times New Roman" w:cs="Times New Roman"/>
      <w:sz w:val="24"/>
      <w:szCs w:val="24"/>
      <w:lang w:val="en-GB"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433A8"/>
    <w:pPr>
      <w:tabs>
        <w:tab w:val="center" w:pos="4320"/>
        <w:tab w:val="right" w:pos="8640"/>
      </w:tabs>
    </w:pPr>
  </w:style>
  <w:style w:type="character" w:customStyle="1" w:styleId="EncabezadoCar">
    <w:name w:val="Encabezado Car"/>
    <w:basedOn w:val="Fuentedeprrafopredeter"/>
    <w:link w:val="Encabezado"/>
    <w:rsid w:val="000433A8"/>
    <w:rPr>
      <w:rFonts w:ascii="Times New Roman" w:eastAsia="Times New Roman" w:hAnsi="Times New Roman" w:cs="Times New Roman"/>
      <w:sz w:val="24"/>
      <w:szCs w:val="24"/>
      <w:lang w:val="en-GB" w:eastAsia="en-CA"/>
    </w:rPr>
  </w:style>
  <w:style w:type="paragraph" w:styleId="Piedepgina">
    <w:name w:val="footer"/>
    <w:basedOn w:val="Normal"/>
    <w:link w:val="PiedepginaCar"/>
    <w:rsid w:val="000433A8"/>
    <w:pPr>
      <w:tabs>
        <w:tab w:val="center" w:pos="4320"/>
        <w:tab w:val="right" w:pos="8640"/>
      </w:tabs>
    </w:pPr>
  </w:style>
  <w:style w:type="character" w:customStyle="1" w:styleId="PiedepginaCar">
    <w:name w:val="Pie de página Car"/>
    <w:basedOn w:val="Fuentedeprrafopredeter"/>
    <w:link w:val="Piedepgina"/>
    <w:rsid w:val="000433A8"/>
    <w:rPr>
      <w:rFonts w:ascii="Times New Roman" w:eastAsia="Times New Roman" w:hAnsi="Times New Roman" w:cs="Times New Roman"/>
      <w:sz w:val="24"/>
      <w:szCs w:val="24"/>
      <w:lang w:val="en-GB" w:eastAsia="en-CA"/>
    </w:rPr>
  </w:style>
  <w:style w:type="character" w:styleId="Hipervnculo">
    <w:name w:val="Hyperlink"/>
    <w:rsid w:val="000433A8"/>
    <w:rPr>
      <w:rFonts w:cs="Times New Roman"/>
      <w:color w:val="0000FF"/>
      <w:u w:val="single"/>
    </w:rPr>
  </w:style>
  <w:style w:type="paragraph" w:styleId="Textodeglobo">
    <w:name w:val="Balloon Text"/>
    <w:basedOn w:val="Normal"/>
    <w:link w:val="TextodegloboCar"/>
    <w:uiPriority w:val="99"/>
    <w:semiHidden/>
    <w:unhideWhenUsed/>
    <w:rsid w:val="000433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3A8"/>
    <w:rPr>
      <w:rFonts w:ascii="Segoe UI" w:eastAsia="Times New Roman" w:hAnsi="Segoe UI" w:cs="Segoe UI"/>
      <w:sz w:val="18"/>
      <w:szCs w:val="18"/>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25304">
      <w:bodyDiv w:val="1"/>
      <w:marLeft w:val="0"/>
      <w:marRight w:val="0"/>
      <w:marTop w:val="0"/>
      <w:marBottom w:val="0"/>
      <w:divBdr>
        <w:top w:val="none" w:sz="0" w:space="0" w:color="auto"/>
        <w:left w:val="none" w:sz="0" w:space="0" w:color="auto"/>
        <w:bottom w:val="none" w:sz="0" w:space="0" w:color="auto"/>
        <w:right w:val="none" w:sz="0" w:space="0" w:color="auto"/>
      </w:divBdr>
    </w:div>
    <w:div w:id="1071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ecretariat@cbd.in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89A1CA3BED3C469C139F788A31C985" ma:contentTypeVersion="13" ma:contentTypeDescription="Create a new document." ma:contentTypeScope="" ma:versionID="6b4ca894b3120fd35fb53bb203eaed65">
  <xsd:schema xmlns:xsd="http://www.w3.org/2001/XMLSchema" xmlns:xs="http://www.w3.org/2001/XMLSchema" xmlns:p="http://schemas.microsoft.com/office/2006/metadata/properties" xmlns:ns2="2b17de70-292b-4cdd-ad12-91d4f3f90ca7" xmlns:ns3="9ab5e01d-22f1-442b-9c00-f7642eadf620" targetNamespace="http://schemas.microsoft.com/office/2006/metadata/properties" ma:root="true" ma:fieldsID="9dc6b7ce8100998052fe1c0fdfeb4e3d" ns2:_="" ns3:_="">
    <xsd:import namespace="2b17de70-292b-4cdd-ad12-91d4f3f90ca7"/>
    <xsd:import namespace="9ab5e01d-22f1-442b-9c00-f7642eadf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7de70-292b-4cdd-ad12-91d4f3f90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5e01d-22f1-442b-9c00-f7642eadf6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F269BF-0CB5-4CAC-8D23-7DDEDF4FB65A}">
  <ds:schemaRefs>
    <ds:schemaRef ds:uri="http://schemas.openxmlformats.org/officeDocument/2006/bibliography"/>
  </ds:schemaRefs>
</ds:datastoreItem>
</file>

<file path=customXml/itemProps2.xml><?xml version="1.0" encoding="utf-8"?>
<ds:datastoreItem xmlns:ds="http://schemas.openxmlformats.org/officeDocument/2006/customXml" ds:itemID="{3A5D0EAD-2743-4E33-8849-C146FE1CBD46}"/>
</file>

<file path=customXml/itemProps3.xml><?xml version="1.0" encoding="utf-8"?>
<ds:datastoreItem xmlns:ds="http://schemas.openxmlformats.org/officeDocument/2006/customXml" ds:itemID="{DD705E21-CEFF-408B-B467-4F26798A67D4}"/>
</file>

<file path=customXml/itemProps4.xml><?xml version="1.0" encoding="utf-8"?>
<ds:datastoreItem xmlns:ds="http://schemas.openxmlformats.org/officeDocument/2006/customXml" ds:itemID="{49AE9DD4-ADEF-4A4F-BD26-10C6C99AE379}"/>
</file>

<file path=docProps/app.xml><?xml version="1.0" encoding="utf-8"?>
<Properties xmlns="http://schemas.openxmlformats.org/officeDocument/2006/extended-properties" xmlns:vt="http://schemas.openxmlformats.org/officeDocument/2006/docPropsVTypes">
  <Template>Normal.dotm</Template>
  <TotalTime>34</TotalTime>
  <Pages>2</Pages>
  <Words>322</Words>
  <Characters>1771</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Scarone Azzi</dc:creator>
  <cp:keywords/>
  <dc:description/>
  <cp:lastModifiedBy>Martín de la Fuente, Ana Judith</cp:lastModifiedBy>
  <cp:revision>6</cp:revision>
  <dcterms:created xsi:type="dcterms:W3CDTF">2021-06-15T08:07:00Z</dcterms:created>
  <dcterms:modified xsi:type="dcterms:W3CDTF">2021-06-15T19:17:00Z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0x0101007F89A1CA3BED3C469C139F788A31C985</vt:lpwstr>
  </property>
</Properties>
</file>