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rsidR="0032155A" w:rsidRDefault="0032155A" w:rsidP="00593BC6">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rsidR="00D97576" w:rsidRPr="00C658CD" w:rsidRDefault="00D97576" w:rsidP="00593BC6">
      <w:pPr>
        <w:pStyle w:val="Header"/>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rsidTr="00EA105F">
        <w:trPr>
          <w:cantSplit/>
          <w:trHeight w:val="233"/>
        </w:trPr>
        <w:tc>
          <w:tcPr>
            <w:tcW w:w="10188" w:type="dxa"/>
            <w:gridSpan w:val="4"/>
            <w:shd w:val="clear" w:color="auto" w:fill="C0C0C0"/>
          </w:tcPr>
          <w:p w:rsidR="00593BC6" w:rsidRPr="00C658CD" w:rsidRDefault="00593BC6" w:rsidP="00EA105F">
            <w:pPr>
              <w:rPr>
                <w:b/>
                <w:sz w:val="22"/>
                <w:szCs w:val="22"/>
              </w:rPr>
            </w:pPr>
          </w:p>
          <w:p w:rsidR="00593BC6" w:rsidRPr="00C658CD" w:rsidRDefault="00593BC6" w:rsidP="00EA105F">
            <w:pPr>
              <w:rPr>
                <w:b/>
                <w:sz w:val="22"/>
                <w:szCs w:val="22"/>
              </w:rPr>
            </w:pPr>
            <w:r w:rsidRPr="00C658CD">
              <w:rPr>
                <w:b/>
                <w:sz w:val="22"/>
                <w:szCs w:val="22"/>
              </w:rPr>
              <w:t>Contact information</w:t>
            </w:r>
          </w:p>
          <w:p w:rsidR="00593BC6" w:rsidRPr="00C658CD" w:rsidRDefault="00593BC6" w:rsidP="00EA105F">
            <w:pPr>
              <w:rPr>
                <w:b/>
                <w:sz w:val="22"/>
                <w:szCs w:val="22"/>
              </w:rPr>
            </w:pPr>
          </w:p>
        </w:tc>
      </w:tr>
      <w:tr w:rsidR="00593BC6" w:rsidRPr="00C658CD" w:rsidTr="00EA105F">
        <w:trPr>
          <w:cantSplit/>
          <w:trHeight w:val="270"/>
        </w:trPr>
        <w:tc>
          <w:tcPr>
            <w:tcW w:w="2150" w:type="dxa"/>
            <w:gridSpan w:val="3"/>
          </w:tcPr>
          <w:p w:rsidR="00593BC6" w:rsidRPr="00C658CD" w:rsidRDefault="00593BC6" w:rsidP="00EA105F">
            <w:pPr>
              <w:rPr>
                <w:b/>
                <w:sz w:val="22"/>
                <w:szCs w:val="22"/>
              </w:rPr>
            </w:pPr>
            <w:r w:rsidRPr="00C658CD">
              <w:rPr>
                <w:b/>
                <w:sz w:val="22"/>
                <w:szCs w:val="22"/>
              </w:rPr>
              <w:t>Surname:</w:t>
            </w:r>
          </w:p>
        </w:tc>
        <w:tc>
          <w:tcPr>
            <w:tcW w:w="8038" w:type="dxa"/>
          </w:tcPr>
          <w:p w:rsidR="00593BC6" w:rsidRPr="00C658CD" w:rsidRDefault="008C7874" w:rsidP="00EA105F">
            <w:pPr>
              <w:rPr>
                <w:sz w:val="22"/>
                <w:szCs w:val="22"/>
              </w:rPr>
            </w:pPr>
            <w:r>
              <w:rPr>
                <w:sz w:val="22"/>
                <w:szCs w:val="22"/>
              </w:rPr>
              <w:t>Tshidada</w:t>
            </w:r>
          </w:p>
        </w:tc>
      </w:tr>
      <w:tr w:rsidR="00593BC6" w:rsidRPr="00C658CD" w:rsidTr="00EA105F">
        <w:trPr>
          <w:cantSplit/>
          <w:trHeight w:val="280"/>
        </w:trPr>
        <w:tc>
          <w:tcPr>
            <w:tcW w:w="2150" w:type="dxa"/>
            <w:gridSpan w:val="3"/>
          </w:tcPr>
          <w:p w:rsidR="00593BC6" w:rsidRPr="00C658CD" w:rsidRDefault="00593BC6" w:rsidP="00EA105F">
            <w:pPr>
              <w:rPr>
                <w:b/>
                <w:sz w:val="22"/>
                <w:szCs w:val="22"/>
              </w:rPr>
            </w:pPr>
          </w:p>
        </w:tc>
        <w:tc>
          <w:tcPr>
            <w:tcW w:w="8038" w:type="dxa"/>
          </w:tcPr>
          <w:p w:rsidR="00593BC6" w:rsidRPr="00C658CD" w:rsidRDefault="00593BC6" w:rsidP="00EA105F">
            <w:pPr>
              <w:rPr>
                <w:sz w:val="22"/>
                <w:szCs w:val="22"/>
              </w:rPr>
            </w:pPr>
          </w:p>
        </w:tc>
      </w:tr>
      <w:tr w:rsidR="00593BC6" w:rsidRPr="00C658CD" w:rsidTr="00EA105F">
        <w:trPr>
          <w:cantSplit/>
          <w:trHeight w:val="270"/>
        </w:trPr>
        <w:tc>
          <w:tcPr>
            <w:tcW w:w="2150" w:type="dxa"/>
            <w:gridSpan w:val="3"/>
          </w:tcPr>
          <w:p w:rsidR="00593BC6" w:rsidRPr="00C658CD" w:rsidRDefault="00593BC6" w:rsidP="00EA105F">
            <w:pPr>
              <w:rPr>
                <w:b/>
                <w:sz w:val="22"/>
                <w:szCs w:val="22"/>
              </w:rPr>
            </w:pPr>
            <w:r w:rsidRPr="00C658CD">
              <w:rPr>
                <w:b/>
                <w:sz w:val="22"/>
                <w:szCs w:val="22"/>
              </w:rPr>
              <w:t>Given Name:</w:t>
            </w:r>
          </w:p>
        </w:tc>
        <w:tc>
          <w:tcPr>
            <w:tcW w:w="8038" w:type="dxa"/>
          </w:tcPr>
          <w:p w:rsidR="00593BC6" w:rsidRPr="00C658CD" w:rsidRDefault="008C7874" w:rsidP="00EA105F">
            <w:pPr>
              <w:rPr>
                <w:sz w:val="22"/>
                <w:szCs w:val="22"/>
              </w:rPr>
            </w:pPr>
            <w:r>
              <w:rPr>
                <w:sz w:val="22"/>
                <w:szCs w:val="22"/>
              </w:rPr>
              <w:t>Ntakadzeni</w:t>
            </w:r>
          </w:p>
        </w:tc>
      </w:tr>
      <w:tr w:rsidR="00593BC6" w:rsidRPr="00C658CD" w:rsidTr="00EA105F">
        <w:trPr>
          <w:cantSplit/>
          <w:trHeight w:val="280"/>
        </w:trPr>
        <w:tc>
          <w:tcPr>
            <w:tcW w:w="2150" w:type="dxa"/>
            <w:gridSpan w:val="3"/>
          </w:tcPr>
          <w:p w:rsidR="00593BC6" w:rsidRPr="00C658CD" w:rsidRDefault="00593BC6" w:rsidP="00EA105F">
            <w:pPr>
              <w:rPr>
                <w:b/>
                <w:sz w:val="22"/>
                <w:szCs w:val="22"/>
              </w:rPr>
            </w:pPr>
          </w:p>
        </w:tc>
        <w:tc>
          <w:tcPr>
            <w:tcW w:w="8038" w:type="dxa"/>
          </w:tcPr>
          <w:p w:rsidR="00593BC6" w:rsidRPr="00C658CD" w:rsidRDefault="00593BC6" w:rsidP="00EA105F">
            <w:pPr>
              <w:rPr>
                <w:sz w:val="22"/>
                <w:szCs w:val="22"/>
              </w:rPr>
            </w:pPr>
          </w:p>
        </w:tc>
      </w:tr>
      <w:tr w:rsidR="00593BC6" w:rsidRPr="00FF1A2A" w:rsidTr="00EA105F">
        <w:trPr>
          <w:cantSplit/>
          <w:trHeight w:val="270"/>
        </w:trPr>
        <w:tc>
          <w:tcPr>
            <w:tcW w:w="2150" w:type="dxa"/>
            <w:gridSpan w:val="3"/>
          </w:tcPr>
          <w:p w:rsidR="00593BC6" w:rsidRPr="00C658CD" w:rsidRDefault="00593BC6" w:rsidP="00EA105F">
            <w:pPr>
              <w:rPr>
                <w:b/>
                <w:sz w:val="22"/>
                <w:szCs w:val="22"/>
              </w:rPr>
            </w:pPr>
            <w:r w:rsidRPr="00C658CD">
              <w:rPr>
                <w:b/>
                <w:sz w:val="22"/>
                <w:szCs w:val="22"/>
              </w:rPr>
              <w:t>Government</w:t>
            </w:r>
          </w:p>
        </w:tc>
        <w:tc>
          <w:tcPr>
            <w:tcW w:w="8038" w:type="dxa"/>
          </w:tcPr>
          <w:p w:rsidR="00593BC6" w:rsidRPr="00F86F63" w:rsidRDefault="00FD332F" w:rsidP="00EA105F">
            <w:pPr>
              <w:rPr>
                <w:sz w:val="22"/>
                <w:szCs w:val="22"/>
              </w:rPr>
            </w:pPr>
            <w:r>
              <w:rPr>
                <w:sz w:val="22"/>
                <w:szCs w:val="22"/>
              </w:rPr>
              <w:t>South Africa</w:t>
            </w:r>
            <w:bookmarkStart w:id="0" w:name="_GoBack"/>
            <w:bookmarkEnd w:id="0"/>
          </w:p>
        </w:tc>
      </w:tr>
      <w:tr w:rsidR="00593BC6" w:rsidRPr="00C658CD" w:rsidTr="00EA105F">
        <w:trPr>
          <w:cantSplit/>
          <w:trHeight w:val="280"/>
        </w:trPr>
        <w:tc>
          <w:tcPr>
            <w:tcW w:w="2150" w:type="dxa"/>
            <w:gridSpan w:val="3"/>
          </w:tcPr>
          <w:p w:rsidR="00593BC6" w:rsidRPr="00C658CD" w:rsidRDefault="00593BC6" w:rsidP="00EA105F">
            <w:pPr>
              <w:rPr>
                <w:b/>
                <w:sz w:val="22"/>
                <w:szCs w:val="22"/>
              </w:rPr>
            </w:pPr>
            <w:r w:rsidRPr="00C658CD">
              <w:rPr>
                <w:b/>
                <w:sz w:val="22"/>
                <w:szCs w:val="22"/>
              </w:rPr>
              <w:t>(if applicable):</w:t>
            </w:r>
          </w:p>
        </w:tc>
        <w:tc>
          <w:tcPr>
            <w:tcW w:w="8038" w:type="dxa"/>
          </w:tcPr>
          <w:p w:rsidR="00593BC6" w:rsidRPr="00C658CD" w:rsidRDefault="00593BC6" w:rsidP="00EA105F">
            <w:pPr>
              <w:rPr>
                <w:sz w:val="22"/>
                <w:szCs w:val="22"/>
              </w:rPr>
            </w:pPr>
          </w:p>
        </w:tc>
      </w:tr>
      <w:tr w:rsidR="00593BC6" w:rsidRPr="00C658CD" w:rsidTr="00EA105F">
        <w:trPr>
          <w:cantSplit/>
          <w:trHeight w:val="270"/>
        </w:trPr>
        <w:tc>
          <w:tcPr>
            <w:tcW w:w="2150" w:type="dxa"/>
            <w:gridSpan w:val="3"/>
          </w:tcPr>
          <w:p w:rsidR="00593BC6" w:rsidRPr="00C658CD" w:rsidRDefault="00593BC6" w:rsidP="00EA105F">
            <w:pPr>
              <w:rPr>
                <w:b/>
                <w:sz w:val="22"/>
                <w:szCs w:val="22"/>
              </w:rPr>
            </w:pPr>
          </w:p>
        </w:tc>
        <w:tc>
          <w:tcPr>
            <w:tcW w:w="8038" w:type="dxa"/>
          </w:tcPr>
          <w:p w:rsidR="00593BC6" w:rsidRPr="00C658CD" w:rsidRDefault="00593BC6" w:rsidP="00EA105F">
            <w:pPr>
              <w:rPr>
                <w:sz w:val="22"/>
                <w:szCs w:val="22"/>
              </w:rPr>
            </w:pPr>
          </w:p>
        </w:tc>
      </w:tr>
      <w:tr w:rsidR="00FD332F" w:rsidRPr="00C658CD" w:rsidTr="00EA105F">
        <w:trPr>
          <w:cantSplit/>
          <w:trHeight w:val="270"/>
        </w:trPr>
        <w:tc>
          <w:tcPr>
            <w:tcW w:w="2150" w:type="dxa"/>
            <w:gridSpan w:val="3"/>
          </w:tcPr>
          <w:p w:rsidR="00FD332F" w:rsidRPr="00C658CD" w:rsidRDefault="00FD332F" w:rsidP="00FD332F">
            <w:pPr>
              <w:rPr>
                <w:b/>
                <w:sz w:val="22"/>
                <w:szCs w:val="22"/>
              </w:rPr>
            </w:pPr>
            <w:r w:rsidRPr="00C658CD">
              <w:rPr>
                <w:b/>
                <w:sz w:val="22"/>
                <w:szCs w:val="22"/>
              </w:rPr>
              <w:t>Organization:</w:t>
            </w:r>
          </w:p>
        </w:tc>
        <w:tc>
          <w:tcPr>
            <w:tcW w:w="8038" w:type="dxa"/>
          </w:tcPr>
          <w:p w:rsidR="00FD332F" w:rsidRPr="00F86F63" w:rsidRDefault="00FD332F" w:rsidP="00FD332F">
            <w:pPr>
              <w:rPr>
                <w:sz w:val="22"/>
                <w:szCs w:val="22"/>
              </w:rPr>
            </w:pPr>
            <w:r>
              <w:rPr>
                <w:sz w:val="22"/>
                <w:szCs w:val="22"/>
              </w:rPr>
              <w:t xml:space="preserve">Department of Forestry, Fisheries and the Environment </w:t>
            </w:r>
          </w:p>
        </w:tc>
      </w:tr>
      <w:tr w:rsidR="00FD332F" w:rsidRPr="00C658CD" w:rsidTr="00EA105F">
        <w:trPr>
          <w:cantSplit/>
          <w:trHeight w:val="233"/>
        </w:trPr>
        <w:tc>
          <w:tcPr>
            <w:tcW w:w="2150" w:type="dxa"/>
            <w:gridSpan w:val="3"/>
          </w:tcPr>
          <w:p w:rsidR="00FD332F" w:rsidRPr="00C658CD" w:rsidRDefault="00FD332F" w:rsidP="00FD332F">
            <w:pPr>
              <w:rPr>
                <w:b/>
                <w:sz w:val="22"/>
                <w:szCs w:val="22"/>
              </w:rPr>
            </w:pPr>
          </w:p>
        </w:tc>
        <w:tc>
          <w:tcPr>
            <w:tcW w:w="8038" w:type="dxa"/>
          </w:tcPr>
          <w:p w:rsidR="00FD332F" w:rsidRPr="00C658CD" w:rsidRDefault="00FD332F" w:rsidP="00FD332F">
            <w:pPr>
              <w:rPr>
                <w:sz w:val="22"/>
                <w:szCs w:val="22"/>
              </w:rPr>
            </w:pPr>
          </w:p>
        </w:tc>
      </w:tr>
      <w:tr w:rsidR="00FD332F" w:rsidRPr="00C658CD" w:rsidTr="00EA105F">
        <w:trPr>
          <w:cantSplit/>
          <w:trHeight w:val="233"/>
        </w:trPr>
        <w:tc>
          <w:tcPr>
            <w:tcW w:w="2150" w:type="dxa"/>
            <w:gridSpan w:val="3"/>
          </w:tcPr>
          <w:p w:rsidR="00FD332F" w:rsidRPr="00C658CD" w:rsidRDefault="00FD332F" w:rsidP="00FD332F">
            <w:pPr>
              <w:rPr>
                <w:b/>
                <w:sz w:val="22"/>
                <w:szCs w:val="22"/>
              </w:rPr>
            </w:pPr>
            <w:r w:rsidRPr="00C658CD">
              <w:rPr>
                <w:b/>
                <w:sz w:val="22"/>
                <w:szCs w:val="22"/>
              </w:rPr>
              <w:t>E-mail:</w:t>
            </w:r>
          </w:p>
        </w:tc>
        <w:tc>
          <w:tcPr>
            <w:tcW w:w="8038" w:type="dxa"/>
          </w:tcPr>
          <w:p w:rsidR="00FD332F" w:rsidRPr="00C658CD" w:rsidRDefault="00FD332F" w:rsidP="00FD332F">
            <w:pPr>
              <w:rPr>
                <w:sz w:val="22"/>
                <w:szCs w:val="22"/>
              </w:rPr>
            </w:pPr>
            <w:hyperlink r:id="rId6" w:history="1">
              <w:r w:rsidRPr="0074296C">
                <w:rPr>
                  <w:rStyle w:val="Hyperlink"/>
                  <w:sz w:val="22"/>
                  <w:szCs w:val="22"/>
                </w:rPr>
                <w:t>ntshidada@environment.gov.za</w:t>
              </w:r>
            </w:hyperlink>
            <w:r>
              <w:rPr>
                <w:sz w:val="22"/>
                <w:szCs w:val="22"/>
              </w:rPr>
              <w:t xml:space="preserve"> </w:t>
            </w:r>
          </w:p>
        </w:tc>
      </w:tr>
      <w:tr w:rsidR="00FD332F" w:rsidRPr="00C658CD" w:rsidTr="00EA105F">
        <w:trPr>
          <w:cantSplit/>
          <w:trHeight w:val="233"/>
        </w:trPr>
        <w:tc>
          <w:tcPr>
            <w:tcW w:w="2150" w:type="dxa"/>
            <w:gridSpan w:val="3"/>
          </w:tcPr>
          <w:p w:rsidR="00FD332F" w:rsidRPr="00C658CD" w:rsidRDefault="00FD332F" w:rsidP="00FD332F">
            <w:pPr>
              <w:rPr>
                <w:b/>
                <w:sz w:val="22"/>
                <w:szCs w:val="22"/>
              </w:rPr>
            </w:pPr>
          </w:p>
        </w:tc>
        <w:tc>
          <w:tcPr>
            <w:tcW w:w="8038" w:type="dxa"/>
          </w:tcPr>
          <w:p w:rsidR="00FD332F" w:rsidRPr="00C658CD" w:rsidRDefault="00FD332F" w:rsidP="00FD332F">
            <w:pPr>
              <w:rPr>
                <w:sz w:val="22"/>
                <w:szCs w:val="22"/>
              </w:rPr>
            </w:pPr>
          </w:p>
        </w:tc>
      </w:tr>
      <w:tr w:rsidR="00FD332F" w:rsidRPr="00C658CD" w:rsidTr="00EA105F">
        <w:trPr>
          <w:cantSplit/>
          <w:trHeight w:val="233"/>
        </w:trPr>
        <w:tc>
          <w:tcPr>
            <w:tcW w:w="10188" w:type="dxa"/>
            <w:gridSpan w:val="4"/>
            <w:shd w:val="clear" w:color="auto" w:fill="BFBFBF"/>
          </w:tcPr>
          <w:p w:rsidR="00FD332F" w:rsidRPr="00C658CD" w:rsidRDefault="00FD332F" w:rsidP="00FD332F">
            <w:pPr>
              <w:rPr>
                <w:b/>
                <w:sz w:val="22"/>
                <w:szCs w:val="22"/>
              </w:rPr>
            </w:pPr>
          </w:p>
          <w:p w:rsidR="00FD332F" w:rsidRPr="00C658CD" w:rsidRDefault="00FD332F" w:rsidP="00FD332F">
            <w:pPr>
              <w:rPr>
                <w:b/>
                <w:sz w:val="22"/>
                <w:szCs w:val="22"/>
              </w:rPr>
            </w:pPr>
            <w:r w:rsidRPr="00C658CD">
              <w:rPr>
                <w:b/>
                <w:sz w:val="22"/>
                <w:szCs w:val="22"/>
              </w:rPr>
              <w:t>Comments on th</w:t>
            </w:r>
            <w:r>
              <w:rPr>
                <w:b/>
                <w:sz w:val="22"/>
                <w:szCs w:val="22"/>
              </w:rPr>
              <w:t>e Technical Series on Synthetic Biology</w:t>
            </w:r>
          </w:p>
          <w:p w:rsidR="00FD332F" w:rsidRPr="00C658CD" w:rsidRDefault="00FD332F" w:rsidP="00FD332F">
            <w:pPr>
              <w:rPr>
                <w:b/>
                <w:sz w:val="22"/>
                <w:szCs w:val="22"/>
              </w:rPr>
            </w:pPr>
          </w:p>
        </w:tc>
      </w:tr>
      <w:tr w:rsidR="00FD332F" w:rsidRPr="00C658CD" w:rsidTr="00135D96">
        <w:trPr>
          <w:cantSplit/>
          <w:trHeight w:val="233"/>
        </w:trPr>
        <w:tc>
          <w:tcPr>
            <w:tcW w:w="918" w:type="dxa"/>
          </w:tcPr>
          <w:p w:rsidR="00FD332F" w:rsidRPr="00C658CD" w:rsidRDefault="00FD332F" w:rsidP="00FD332F">
            <w:pPr>
              <w:rPr>
                <w:b/>
                <w:sz w:val="22"/>
                <w:szCs w:val="22"/>
              </w:rPr>
            </w:pPr>
            <w:r w:rsidRPr="00C658CD">
              <w:rPr>
                <w:b/>
                <w:sz w:val="22"/>
                <w:szCs w:val="22"/>
              </w:rPr>
              <w:t>Page</w:t>
            </w:r>
            <w:r>
              <w:rPr>
                <w:b/>
                <w:sz w:val="22"/>
                <w:szCs w:val="22"/>
              </w:rPr>
              <w:t xml:space="preserve"> #</w:t>
            </w:r>
          </w:p>
        </w:tc>
        <w:tc>
          <w:tcPr>
            <w:tcW w:w="1125" w:type="dxa"/>
          </w:tcPr>
          <w:p w:rsidR="00FD332F" w:rsidRPr="00C658CD" w:rsidRDefault="00FD332F" w:rsidP="00FD332F">
            <w:pPr>
              <w:rPr>
                <w:b/>
                <w:sz w:val="22"/>
                <w:szCs w:val="22"/>
              </w:rPr>
            </w:pPr>
            <w:r>
              <w:rPr>
                <w:b/>
                <w:sz w:val="22"/>
                <w:szCs w:val="22"/>
              </w:rPr>
              <w:t>Line #</w:t>
            </w:r>
          </w:p>
        </w:tc>
        <w:tc>
          <w:tcPr>
            <w:tcW w:w="8145" w:type="dxa"/>
            <w:gridSpan w:val="2"/>
          </w:tcPr>
          <w:p w:rsidR="00FD332F" w:rsidRPr="00C658CD" w:rsidRDefault="00FD332F" w:rsidP="00FD332F">
            <w:pPr>
              <w:rPr>
                <w:b/>
                <w:sz w:val="22"/>
                <w:szCs w:val="22"/>
              </w:rPr>
            </w:pPr>
            <w:r w:rsidRPr="00C658CD">
              <w:rPr>
                <w:b/>
                <w:sz w:val="22"/>
                <w:szCs w:val="22"/>
              </w:rPr>
              <w:t>Comment</w:t>
            </w:r>
          </w:p>
        </w:tc>
      </w:tr>
      <w:tr w:rsidR="00FD332F" w:rsidRPr="00C658CD" w:rsidTr="00135D96">
        <w:trPr>
          <w:cantSplit/>
          <w:trHeight w:val="233"/>
        </w:trPr>
        <w:tc>
          <w:tcPr>
            <w:tcW w:w="918" w:type="dxa"/>
          </w:tcPr>
          <w:p w:rsidR="00FD332F" w:rsidRPr="008C7874" w:rsidRDefault="00FD332F" w:rsidP="00FD332F">
            <w:pPr>
              <w:rPr>
                <w:sz w:val="22"/>
                <w:szCs w:val="22"/>
              </w:rPr>
            </w:pPr>
            <w:r w:rsidRPr="008C7874">
              <w:rPr>
                <w:sz w:val="22"/>
                <w:szCs w:val="22"/>
              </w:rPr>
              <w:t>0</w:t>
            </w:r>
          </w:p>
        </w:tc>
        <w:tc>
          <w:tcPr>
            <w:tcW w:w="1125" w:type="dxa"/>
          </w:tcPr>
          <w:p w:rsidR="00FD332F" w:rsidRPr="008C7874" w:rsidRDefault="00FD332F" w:rsidP="00FD332F">
            <w:pPr>
              <w:rPr>
                <w:sz w:val="22"/>
                <w:szCs w:val="22"/>
              </w:rPr>
            </w:pPr>
            <w:r w:rsidRPr="008C7874">
              <w:rPr>
                <w:sz w:val="22"/>
                <w:szCs w:val="22"/>
              </w:rPr>
              <w:t>0</w:t>
            </w:r>
          </w:p>
        </w:tc>
        <w:tc>
          <w:tcPr>
            <w:tcW w:w="8145" w:type="dxa"/>
            <w:gridSpan w:val="2"/>
          </w:tcPr>
          <w:p w:rsidR="00FD332F" w:rsidRPr="008C7874" w:rsidRDefault="00FD332F" w:rsidP="00FD332F">
            <w:pPr>
              <w:jc w:val="both"/>
              <w:rPr>
                <w:sz w:val="22"/>
                <w:szCs w:val="22"/>
              </w:rPr>
            </w:pPr>
            <w:r w:rsidRPr="008C7874">
              <w:rPr>
                <w:sz w:val="22"/>
                <w:szCs w:val="22"/>
              </w:rPr>
              <w:t xml:space="preserve">As highlighted in the document, there are numerous typos that need to be fixed, these will not be mentioned further as requested. </w:t>
            </w:r>
          </w:p>
        </w:tc>
      </w:tr>
      <w:tr w:rsidR="00FD332F" w:rsidRPr="00C658CD" w:rsidTr="00135D96">
        <w:trPr>
          <w:cantSplit/>
          <w:trHeight w:val="233"/>
        </w:trPr>
        <w:tc>
          <w:tcPr>
            <w:tcW w:w="918" w:type="dxa"/>
          </w:tcPr>
          <w:p w:rsidR="00FD332F" w:rsidRPr="008C7874" w:rsidRDefault="00FD332F" w:rsidP="00FD332F">
            <w:pPr>
              <w:rPr>
                <w:sz w:val="22"/>
                <w:szCs w:val="22"/>
              </w:rPr>
            </w:pPr>
            <w:r w:rsidRPr="008C7874">
              <w:rPr>
                <w:sz w:val="22"/>
                <w:szCs w:val="22"/>
              </w:rPr>
              <w:t>0</w:t>
            </w:r>
          </w:p>
        </w:tc>
        <w:tc>
          <w:tcPr>
            <w:tcW w:w="1125" w:type="dxa"/>
          </w:tcPr>
          <w:p w:rsidR="00FD332F" w:rsidRPr="008C7874" w:rsidRDefault="00FD332F" w:rsidP="00FD332F">
            <w:pPr>
              <w:rPr>
                <w:sz w:val="22"/>
                <w:szCs w:val="22"/>
              </w:rPr>
            </w:pPr>
            <w:r w:rsidRPr="008C7874">
              <w:rPr>
                <w:sz w:val="22"/>
                <w:szCs w:val="22"/>
              </w:rPr>
              <w:t>0</w:t>
            </w:r>
          </w:p>
        </w:tc>
        <w:tc>
          <w:tcPr>
            <w:tcW w:w="8145" w:type="dxa"/>
            <w:gridSpan w:val="2"/>
          </w:tcPr>
          <w:p w:rsidR="00FD332F" w:rsidRPr="008C7874" w:rsidRDefault="00FD332F" w:rsidP="00FD332F">
            <w:pPr>
              <w:jc w:val="both"/>
              <w:rPr>
                <w:sz w:val="22"/>
                <w:szCs w:val="22"/>
              </w:rPr>
            </w:pPr>
            <w:r w:rsidRPr="008C7874">
              <w:rPr>
                <w:sz w:val="22"/>
                <w:szCs w:val="22"/>
              </w:rPr>
              <w:t xml:space="preserve">After reading the entire document in detail, it was apparent that there was a notable amount of repetition between sections, either when examples were highlighted or when specific content from Conventions and Protocols were mentioned. It is understandable that there will be some degree of repetition which will be unavoidable but this could potentially be minimised by re-organising the flow of some of the sections. This would also make the document less dense and more reader-friendly. </w:t>
            </w:r>
          </w:p>
        </w:tc>
      </w:tr>
      <w:tr w:rsidR="00FD332F" w:rsidRPr="00C658CD" w:rsidTr="00135D96">
        <w:trPr>
          <w:cantSplit/>
          <w:trHeight w:val="233"/>
        </w:trPr>
        <w:tc>
          <w:tcPr>
            <w:tcW w:w="918" w:type="dxa"/>
          </w:tcPr>
          <w:p w:rsidR="00FD332F" w:rsidRPr="008C7874" w:rsidRDefault="00FD332F" w:rsidP="00FD332F">
            <w:pPr>
              <w:rPr>
                <w:sz w:val="22"/>
                <w:szCs w:val="22"/>
              </w:rPr>
            </w:pPr>
            <w:r w:rsidRPr="008C7874">
              <w:rPr>
                <w:sz w:val="22"/>
                <w:szCs w:val="22"/>
              </w:rPr>
              <w:t>0</w:t>
            </w:r>
          </w:p>
        </w:tc>
        <w:tc>
          <w:tcPr>
            <w:tcW w:w="1125" w:type="dxa"/>
          </w:tcPr>
          <w:p w:rsidR="00FD332F" w:rsidRPr="008C7874" w:rsidRDefault="00FD332F" w:rsidP="00FD332F">
            <w:pPr>
              <w:rPr>
                <w:sz w:val="22"/>
                <w:szCs w:val="22"/>
              </w:rPr>
            </w:pPr>
            <w:r w:rsidRPr="008C7874">
              <w:rPr>
                <w:sz w:val="22"/>
                <w:szCs w:val="22"/>
              </w:rPr>
              <w:t>0</w:t>
            </w:r>
          </w:p>
        </w:tc>
        <w:tc>
          <w:tcPr>
            <w:tcW w:w="8145" w:type="dxa"/>
            <w:gridSpan w:val="2"/>
          </w:tcPr>
          <w:p w:rsidR="00FD332F" w:rsidRPr="008C7874" w:rsidRDefault="00FD332F" w:rsidP="00FD332F">
            <w:pPr>
              <w:jc w:val="both"/>
              <w:rPr>
                <w:sz w:val="22"/>
                <w:szCs w:val="22"/>
              </w:rPr>
            </w:pPr>
            <w:r w:rsidRPr="008C7874">
              <w:rPr>
                <w:sz w:val="22"/>
                <w:szCs w:val="22"/>
              </w:rPr>
              <w:t xml:space="preserve">Throughout the document, it is emphasised that there is a need to engage with local people (indigenous or otherwise) in order to highlight concerns for new synthetic biology technologies and to gauge their acceptance for implementation of developed technologies. This was highlighted by Trump et al. (2020 – this reference was cited in the document for other reasons) who noted that an essential component for acceptance of synthetic biology technologies will have to involve co-operation between biosecurity experts, social scientists and practitioners. These authors termed this the “building of bridges” between the role players early in the technology development and forecasting stages. These authors demonstrated in another study (Trump et al. 2019), what they termed the value of the co-evolution of physical and social sciences in the development of synthetic biology over a 16 year period. It is recommended that this aspect needs to be expanded upon in the document as it is mentioned in very general terms.   </w:t>
            </w:r>
          </w:p>
        </w:tc>
      </w:tr>
      <w:tr w:rsidR="00FD332F" w:rsidRPr="00C658CD" w:rsidTr="00135D96">
        <w:trPr>
          <w:cantSplit/>
          <w:trHeight w:val="233"/>
        </w:trPr>
        <w:tc>
          <w:tcPr>
            <w:tcW w:w="918" w:type="dxa"/>
          </w:tcPr>
          <w:p w:rsidR="00FD332F" w:rsidRPr="008C7874" w:rsidRDefault="00FD332F" w:rsidP="00FD332F">
            <w:pPr>
              <w:rPr>
                <w:sz w:val="22"/>
                <w:szCs w:val="22"/>
              </w:rPr>
            </w:pPr>
            <w:r w:rsidRPr="008C7874">
              <w:rPr>
                <w:sz w:val="22"/>
                <w:szCs w:val="22"/>
              </w:rPr>
              <w:t>0</w:t>
            </w:r>
          </w:p>
        </w:tc>
        <w:tc>
          <w:tcPr>
            <w:tcW w:w="1125" w:type="dxa"/>
          </w:tcPr>
          <w:p w:rsidR="00FD332F" w:rsidRPr="008C7874" w:rsidRDefault="00FD332F" w:rsidP="00FD332F">
            <w:pPr>
              <w:rPr>
                <w:sz w:val="22"/>
                <w:szCs w:val="22"/>
              </w:rPr>
            </w:pPr>
            <w:r w:rsidRPr="008C7874">
              <w:rPr>
                <w:sz w:val="22"/>
                <w:szCs w:val="22"/>
              </w:rPr>
              <w:t>0</w:t>
            </w:r>
          </w:p>
        </w:tc>
        <w:tc>
          <w:tcPr>
            <w:tcW w:w="8145" w:type="dxa"/>
            <w:gridSpan w:val="2"/>
          </w:tcPr>
          <w:p w:rsidR="00FD332F" w:rsidRPr="008C7874" w:rsidRDefault="00FD332F" w:rsidP="00FD332F">
            <w:pPr>
              <w:jc w:val="both"/>
              <w:rPr>
                <w:sz w:val="22"/>
                <w:szCs w:val="22"/>
              </w:rPr>
            </w:pPr>
            <w:r w:rsidRPr="008C7874">
              <w:rPr>
                <w:sz w:val="22"/>
                <w:szCs w:val="22"/>
              </w:rPr>
              <w:t xml:space="preserve">While reviewing the literature on regulation of synthetic biology under the CBD, an interesting review article by </w:t>
            </w:r>
            <w:proofErr w:type="spellStart"/>
            <w:r w:rsidRPr="008C7874">
              <w:rPr>
                <w:sz w:val="22"/>
                <w:szCs w:val="22"/>
              </w:rPr>
              <w:t>Keiper</w:t>
            </w:r>
            <w:proofErr w:type="spellEnd"/>
            <w:r w:rsidRPr="008C7874">
              <w:rPr>
                <w:sz w:val="22"/>
                <w:szCs w:val="22"/>
              </w:rPr>
              <w:t xml:space="preserve"> and </w:t>
            </w:r>
            <w:proofErr w:type="spellStart"/>
            <w:r w:rsidRPr="008C7874">
              <w:rPr>
                <w:sz w:val="22"/>
                <w:szCs w:val="22"/>
              </w:rPr>
              <w:t>Atanassova</w:t>
            </w:r>
            <w:proofErr w:type="spellEnd"/>
            <w:r w:rsidRPr="008C7874">
              <w:rPr>
                <w:sz w:val="22"/>
                <w:szCs w:val="22"/>
              </w:rPr>
              <w:t xml:space="preserve"> (2020) was noted (this was cited numerous times in the document). These authors concluded that the CBD discussions on synthetic biology were seen as a longer version of the Asilomar conference as the decision making process has been in progress for an extended period of time. These authors also highlighted the general lack of participation of practitioners in the CBD decision making process. The authors further advocated for more active involvement by the scientific community in order to drive efficient, science-based regulation.  </w:t>
            </w:r>
          </w:p>
        </w:tc>
      </w:tr>
      <w:tr w:rsidR="00FD332F" w:rsidRPr="00C658CD" w:rsidTr="00135D96">
        <w:trPr>
          <w:cantSplit/>
          <w:trHeight w:val="233"/>
        </w:trPr>
        <w:tc>
          <w:tcPr>
            <w:tcW w:w="918" w:type="dxa"/>
          </w:tcPr>
          <w:p w:rsidR="00FD332F" w:rsidRPr="008C7874" w:rsidRDefault="00FD332F" w:rsidP="00FD332F">
            <w:pPr>
              <w:rPr>
                <w:sz w:val="22"/>
                <w:szCs w:val="22"/>
              </w:rPr>
            </w:pPr>
            <w:r w:rsidRPr="008C7874">
              <w:rPr>
                <w:sz w:val="22"/>
                <w:szCs w:val="22"/>
              </w:rPr>
              <w:t>0</w:t>
            </w:r>
          </w:p>
        </w:tc>
        <w:tc>
          <w:tcPr>
            <w:tcW w:w="1125" w:type="dxa"/>
          </w:tcPr>
          <w:p w:rsidR="00FD332F" w:rsidRPr="008C7874" w:rsidRDefault="00FD332F" w:rsidP="00FD332F">
            <w:pPr>
              <w:rPr>
                <w:sz w:val="22"/>
                <w:szCs w:val="22"/>
              </w:rPr>
            </w:pPr>
            <w:r w:rsidRPr="008C7874">
              <w:rPr>
                <w:sz w:val="22"/>
                <w:szCs w:val="22"/>
              </w:rPr>
              <w:t>0</w:t>
            </w:r>
          </w:p>
        </w:tc>
        <w:tc>
          <w:tcPr>
            <w:tcW w:w="8145" w:type="dxa"/>
            <w:gridSpan w:val="2"/>
          </w:tcPr>
          <w:p w:rsidR="00FD332F" w:rsidRPr="008C7874" w:rsidRDefault="00FD332F" w:rsidP="00FD332F">
            <w:pPr>
              <w:jc w:val="both"/>
              <w:rPr>
                <w:sz w:val="22"/>
                <w:szCs w:val="22"/>
              </w:rPr>
            </w:pPr>
            <w:r w:rsidRPr="008C7874">
              <w:rPr>
                <w:sz w:val="22"/>
                <w:szCs w:val="22"/>
              </w:rPr>
              <w:t xml:space="preserve">It is recommended that more emphasis be placed on international co-operation in terms of regulation and implementation of new technologies, for example, gene drives which have </w:t>
            </w:r>
            <w:r w:rsidRPr="008C7874">
              <w:rPr>
                <w:sz w:val="22"/>
                <w:szCs w:val="22"/>
              </w:rPr>
              <w:lastRenderedPageBreak/>
              <w:t xml:space="preserve">the potential for transboundary movement. This is highlighted by Reynolds (2020 – cited in the document) in terms of international governance of gene drives.  </w:t>
            </w:r>
          </w:p>
        </w:tc>
      </w:tr>
      <w:tr w:rsidR="00FD332F" w:rsidRPr="00C658CD"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lastRenderedPageBreak/>
              <w:t>0</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0</w:t>
            </w:r>
          </w:p>
        </w:tc>
        <w:tc>
          <w:tcPr>
            <w:tcW w:w="8145" w:type="dxa"/>
            <w:gridSpan w:val="2"/>
          </w:tcPr>
          <w:p w:rsidR="00FD332F" w:rsidRPr="008C7874" w:rsidRDefault="00FD332F" w:rsidP="00FD332F">
            <w:pPr>
              <w:shd w:val="clear" w:color="auto" w:fill="FFFFFF" w:themeFill="background1"/>
              <w:jc w:val="both"/>
              <w:rPr>
                <w:sz w:val="22"/>
                <w:szCs w:val="22"/>
              </w:rPr>
            </w:pPr>
            <w:r w:rsidRPr="008C7874">
              <w:rPr>
                <w:bCs/>
                <w:sz w:val="22"/>
                <w:szCs w:val="22"/>
                <w:lang w:val="en-ZA"/>
              </w:rPr>
              <w:t xml:space="preserve">The document is very comprehensive and seeks to provide useful information on synthetic biology as it relates to the Convention and its Protocols. However, most sections seem to be repeating information from the text of the Convention and its Protocol, mostly as background and to provide context, but in some cases seem irrelevant or lack a link to synthetic biology. We propose that </w:t>
            </w:r>
            <w:r w:rsidRPr="008C7874">
              <w:rPr>
                <w:sz w:val="22"/>
                <w:szCs w:val="22"/>
              </w:rPr>
              <w:t xml:space="preserve">background information be reduced and only keep as far as possible shorter paragraphs that provide context to the aspects of synthetic biology discussed in the different sections. </w:t>
            </w:r>
          </w:p>
        </w:tc>
      </w:tr>
      <w:tr w:rsidR="00FD332F" w:rsidRPr="00B30682"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t>3</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6</w:t>
            </w:r>
          </w:p>
        </w:tc>
        <w:tc>
          <w:tcPr>
            <w:tcW w:w="8145" w:type="dxa"/>
            <w:gridSpan w:val="2"/>
          </w:tcPr>
          <w:p w:rsidR="00FD332F" w:rsidRPr="008C7874" w:rsidRDefault="00FD332F" w:rsidP="00FD332F">
            <w:pPr>
              <w:shd w:val="clear" w:color="auto" w:fill="FFFFFF" w:themeFill="background1"/>
              <w:jc w:val="both"/>
              <w:rPr>
                <w:sz w:val="22"/>
                <w:szCs w:val="22"/>
              </w:rPr>
            </w:pPr>
            <w:r w:rsidRPr="008C7874">
              <w:rPr>
                <w:sz w:val="22"/>
                <w:szCs w:val="22"/>
              </w:rPr>
              <w:t>OPCW full description not provided</w:t>
            </w:r>
          </w:p>
        </w:tc>
      </w:tr>
      <w:tr w:rsidR="00FD332F" w:rsidRPr="00AD22DE"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t>8</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10</w:t>
            </w:r>
          </w:p>
        </w:tc>
        <w:tc>
          <w:tcPr>
            <w:tcW w:w="8145" w:type="dxa"/>
            <w:gridSpan w:val="2"/>
          </w:tcPr>
          <w:p w:rsidR="00FD332F" w:rsidRPr="008C7874" w:rsidRDefault="00FD332F" w:rsidP="00FD332F">
            <w:pPr>
              <w:shd w:val="clear" w:color="auto" w:fill="FFFFFF" w:themeFill="background1"/>
              <w:jc w:val="both"/>
              <w:rPr>
                <w:sz w:val="22"/>
                <w:szCs w:val="22"/>
              </w:rPr>
            </w:pPr>
            <w:r w:rsidRPr="008C7874">
              <w:rPr>
                <w:sz w:val="22"/>
                <w:szCs w:val="22"/>
              </w:rPr>
              <w:t>We propose that the word “sector” be qualified. As it currently stands, it is not clear which sector is being referred to.</w:t>
            </w:r>
          </w:p>
        </w:tc>
      </w:tr>
      <w:tr w:rsidR="00FD332F" w:rsidRPr="00AD22DE"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t>8</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24-27</w:t>
            </w:r>
          </w:p>
        </w:tc>
        <w:tc>
          <w:tcPr>
            <w:tcW w:w="8145" w:type="dxa"/>
            <w:gridSpan w:val="2"/>
          </w:tcPr>
          <w:p w:rsidR="00FD332F" w:rsidRPr="008C7874" w:rsidRDefault="00FD332F" w:rsidP="00FD332F">
            <w:pPr>
              <w:shd w:val="clear" w:color="auto" w:fill="FFFFFF" w:themeFill="background1"/>
              <w:jc w:val="both"/>
              <w:rPr>
                <w:color w:val="FF0000"/>
                <w:sz w:val="22"/>
                <w:szCs w:val="22"/>
              </w:rPr>
            </w:pPr>
            <w:r w:rsidRPr="008C7874">
              <w:rPr>
                <w:sz w:val="22"/>
                <w:szCs w:val="22"/>
              </w:rPr>
              <w:t xml:space="preserve">It is proposed that the document maintains consistency when referring to the broader issues other than the scientific assessments, that is socio-economic, political, moral, cultural, legal, and ethical, </w:t>
            </w:r>
            <w:r w:rsidRPr="008C7874">
              <w:rPr>
                <w:sz w:val="22"/>
                <w:szCs w:val="22"/>
                <w:lang w:val="en-ZA"/>
              </w:rPr>
              <w:t>ethical, socio-cultural, epidemiological, ecological and economic considerations</w:t>
            </w:r>
            <w:r w:rsidRPr="008C7874">
              <w:rPr>
                <w:sz w:val="22"/>
                <w:szCs w:val="22"/>
              </w:rPr>
              <w:t xml:space="preserve"> social justice consistent with the Convention language?</w:t>
            </w:r>
          </w:p>
          <w:p w:rsidR="00FD332F" w:rsidRPr="008C7874" w:rsidRDefault="00FD332F" w:rsidP="00FD332F">
            <w:pPr>
              <w:shd w:val="clear" w:color="auto" w:fill="FFFFFF" w:themeFill="background1"/>
              <w:jc w:val="both"/>
              <w:rPr>
                <w:color w:val="FF0000"/>
                <w:sz w:val="22"/>
                <w:szCs w:val="22"/>
              </w:rPr>
            </w:pPr>
          </w:p>
          <w:p w:rsidR="00FD332F" w:rsidRPr="008C7874" w:rsidRDefault="00FD332F" w:rsidP="00FD332F">
            <w:pPr>
              <w:shd w:val="clear" w:color="auto" w:fill="FFFFFF" w:themeFill="background1"/>
              <w:jc w:val="both"/>
              <w:rPr>
                <w:sz w:val="22"/>
                <w:szCs w:val="22"/>
              </w:rPr>
            </w:pPr>
            <w:r w:rsidRPr="008C7874">
              <w:rPr>
                <w:sz w:val="22"/>
                <w:szCs w:val="22"/>
              </w:rPr>
              <w:t>While acknowledging that these broader dimensions will vary depending on national circumstances, it would be useful to have these dimensions defined or expanded on in the context of synthetic biology.</w:t>
            </w:r>
          </w:p>
        </w:tc>
      </w:tr>
      <w:tr w:rsidR="00FD332F" w:rsidRPr="00AD22DE"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t>8</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32-33</w:t>
            </w:r>
          </w:p>
        </w:tc>
        <w:tc>
          <w:tcPr>
            <w:tcW w:w="8145" w:type="dxa"/>
            <w:gridSpan w:val="2"/>
          </w:tcPr>
          <w:p w:rsidR="00FD332F" w:rsidRPr="008C7874" w:rsidRDefault="00FD332F" w:rsidP="00FD332F">
            <w:pPr>
              <w:shd w:val="clear" w:color="auto" w:fill="FFFFFF" w:themeFill="background1"/>
              <w:jc w:val="both"/>
              <w:rPr>
                <w:sz w:val="22"/>
                <w:szCs w:val="22"/>
              </w:rPr>
            </w:pPr>
            <w:r w:rsidRPr="008C7874">
              <w:rPr>
                <w:sz w:val="22"/>
                <w:szCs w:val="22"/>
              </w:rPr>
              <w:t>We proposed that the term “classical genetic engineering” be defined in a footnote</w:t>
            </w:r>
          </w:p>
        </w:tc>
      </w:tr>
      <w:tr w:rsidR="00FD332F" w:rsidRPr="00AD22DE"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t>12</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23</w:t>
            </w:r>
          </w:p>
        </w:tc>
        <w:tc>
          <w:tcPr>
            <w:tcW w:w="8145" w:type="dxa"/>
            <w:gridSpan w:val="2"/>
          </w:tcPr>
          <w:p w:rsidR="00FD332F" w:rsidRPr="008C7874" w:rsidRDefault="00FD332F" w:rsidP="00FD332F">
            <w:pPr>
              <w:shd w:val="clear" w:color="auto" w:fill="FFFFFF" w:themeFill="background1"/>
              <w:jc w:val="both"/>
              <w:rPr>
                <w:sz w:val="22"/>
                <w:szCs w:val="22"/>
              </w:rPr>
            </w:pPr>
            <w:r w:rsidRPr="008C7874">
              <w:rPr>
                <w:sz w:val="22"/>
                <w:szCs w:val="22"/>
              </w:rPr>
              <w:t>Incomplete sentence  “of those countries form the basis of discussions aimed at reaching a consensus at the international level.”</w:t>
            </w:r>
          </w:p>
        </w:tc>
      </w:tr>
      <w:tr w:rsidR="00FD332F" w:rsidRPr="00AD22DE"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t>12</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34-38</w:t>
            </w:r>
          </w:p>
        </w:tc>
        <w:tc>
          <w:tcPr>
            <w:tcW w:w="8145" w:type="dxa"/>
            <w:gridSpan w:val="2"/>
          </w:tcPr>
          <w:p w:rsidR="00FD332F" w:rsidRPr="008C7874" w:rsidRDefault="00FD332F" w:rsidP="00FD332F">
            <w:pPr>
              <w:shd w:val="clear" w:color="auto" w:fill="FFFFFF" w:themeFill="background1"/>
              <w:jc w:val="both"/>
              <w:rPr>
                <w:sz w:val="22"/>
                <w:szCs w:val="22"/>
              </w:rPr>
            </w:pPr>
            <w:r w:rsidRPr="008C7874">
              <w:rPr>
                <w:sz w:val="22"/>
                <w:szCs w:val="22"/>
                <w:lang w:val="en-ZA"/>
              </w:rPr>
              <w:t>While socio-economic considerations as outlined in Article 26 of the Biosafety Protocol are not mandatory, most</w:t>
            </w:r>
            <w:r w:rsidRPr="008C7874">
              <w:rPr>
                <w:snapToGrid w:val="0"/>
                <w:kern w:val="22"/>
                <w:sz w:val="22"/>
                <w:szCs w:val="22"/>
                <w:lang w:eastAsia="en-US"/>
              </w:rPr>
              <w:t xml:space="preserve"> </w:t>
            </w:r>
            <w:r w:rsidRPr="008C7874">
              <w:rPr>
                <w:sz w:val="22"/>
                <w:szCs w:val="22"/>
              </w:rPr>
              <w:t>Parties have specific approaches or requirements that facilitate how socio-economic considerations should be taken into account in decision-making with regard to living modified organisms. South Africa’s NBF for example, has a holistic approach that considers both biosafety aspects and socio-economic consideration in decision-making. As such,</w:t>
            </w:r>
            <w:r w:rsidRPr="008C7874">
              <w:rPr>
                <w:sz w:val="22"/>
                <w:szCs w:val="22"/>
                <w:lang w:val="en-ZA"/>
              </w:rPr>
              <w:t xml:space="preserve"> organism resulting from synthetic biology techniques considered as LMOs would be accommodated. </w:t>
            </w:r>
          </w:p>
        </w:tc>
      </w:tr>
      <w:tr w:rsidR="00FD332F" w:rsidRPr="00AD22DE" w:rsidTr="00135D96">
        <w:trPr>
          <w:cantSplit/>
          <w:trHeight w:val="233"/>
        </w:trPr>
        <w:tc>
          <w:tcPr>
            <w:tcW w:w="918" w:type="dxa"/>
          </w:tcPr>
          <w:p w:rsidR="00FD332F" w:rsidRPr="008C7874" w:rsidRDefault="00FD332F" w:rsidP="00FD332F">
            <w:pPr>
              <w:shd w:val="clear" w:color="auto" w:fill="FFFFFF" w:themeFill="background1"/>
              <w:rPr>
                <w:sz w:val="22"/>
                <w:szCs w:val="22"/>
              </w:rPr>
            </w:pPr>
            <w:r w:rsidRPr="008C7874">
              <w:rPr>
                <w:sz w:val="22"/>
                <w:szCs w:val="22"/>
              </w:rPr>
              <w:t>12-13</w:t>
            </w:r>
          </w:p>
        </w:tc>
        <w:tc>
          <w:tcPr>
            <w:tcW w:w="1125" w:type="dxa"/>
          </w:tcPr>
          <w:p w:rsidR="00FD332F" w:rsidRPr="008C7874" w:rsidRDefault="00FD332F" w:rsidP="00FD332F">
            <w:pPr>
              <w:shd w:val="clear" w:color="auto" w:fill="FFFFFF" w:themeFill="background1"/>
              <w:rPr>
                <w:sz w:val="22"/>
                <w:szCs w:val="22"/>
              </w:rPr>
            </w:pPr>
            <w:r w:rsidRPr="008C7874">
              <w:rPr>
                <w:sz w:val="22"/>
                <w:szCs w:val="22"/>
              </w:rPr>
              <w:t>49-50 and 1-2</w:t>
            </w:r>
          </w:p>
        </w:tc>
        <w:tc>
          <w:tcPr>
            <w:tcW w:w="8145" w:type="dxa"/>
            <w:gridSpan w:val="2"/>
          </w:tcPr>
          <w:p w:rsidR="00FD332F" w:rsidRPr="008C7874" w:rsidRDefault="00FD332F" w:rsidP="00FD332F">
            <w:pPr>
              <w:shd w:val="clear" w:color="auto" w:fill="FFFFFF" w:themeFill="background1"/>
              <w:jc w:val="both"/>
              <w:rPr>
                <w:sz w:val="22"/>
                <w:szCs w:val="22"/>
                <w:lang w:val="en-ZA"/>
              </w:rPr>
            </w:pPr>
            <w:r w:rsidRPr="008C7874">
              <w:rPr>
                <w:sz w:val="22"/>
                <w:szCs w:val="22"/>
                <w:lang w:val="en-ZA"/>
              </w:rPr>
              <w:t>It would be useful to put into context “regulatory mechanisms/frameworks” referred to as at not having been developed with the necessary scope and scale, especially given that it is implied that there are others beyond the Convention and its Protocols.</w:t>
            </w:r>
          </w:p>
          <w:p w:rsidR="00FD332F" w:rsidRPr="008C7874" w:rsidRDefault="00FD332F" w:rsidP="00FD332F">
            <w:pPr>
              <w:shd w:val="clear" w:color="auto" w:fill="FFFFFF" w:themeFill="background1"/>
              <w:jc w:val="both"/>
              <w:rPr>
                <w:sz w:val="22"/>
                <w:szCs w:val="22"/>
                <w:lang w:val="en-ZA"/>
              </w:rPr>
            </w:pPr>
          </w:p>
          <w:p w:rsidR="00FD332F" w:rsidRPr="008C7874" w:rsidRDefault="00FD332F" w:rsidP="00FD332F">
            <w:pPr>
              <w:shd w:val="clear" w:color="auto" w:fill="FFFFFF" w:themeFill="background1"/>
              <w:jc w:val="both"/>
              <w:rPr>
                <w:sz w:val="22"/>
                <w:szCs w:val="22"/>
                <w:lang w:val="en-ZA"/>
              </w:rPr>
            </w:pPr>
            <w:r w:rsidRPr="008C7874">
              <w:rPr>
                <w:sz w:val="22"/>
                <w:szCs w:val="22"/>
                <w:lang w:val="en-ZA"/>
              </w:rPr>
              <w:t xml:space="preserve">It would be useful to gather information on regulatory frameworks under which </w:t>
            </w:r>
            <w:proofErr w:type="spellStart"/>
            <w:r w:rsidRPr="008C7874">
              <w:rPr>
                <w:sz w:val="22"/>
                <w:szCs w:val="22"/>
                <w:lang w:val="en-ZA"/>
              </w:rPr>
              <w:t>synbio</w:t>
            </w:r>
            <w:proofErr w:type="spellEnd"/>
            <w:r w:rsidRPr="008C7874">
              <w:rPr>
                <w:sz w:val="22"/>
                <w:szCs w:val="22"/>
                <w:lang w:val="en-ZA"/>
              </w:rPr>
              <w:t xml:space="preserve"> applications have been considered by parties thus far to get an idea of the extent to which they accommodate synthetic biology. This can assist other parties in assessing the appropriateness of their regulatory frameworks and whether there would be a need to update based on national circumstances</w:t>
            </w:r>
          </w:p>
          <w:p w:rsidR="00FD332F" w:rsidRPr="008C7874" w:rsidRDefault="00FD332F" w:rsidP="00FD332F">
            <w:pPr>
              <w:shd w:val="clear" w:color="auto" w:fill="FFFFFF" w:themeFill="background1"/>
              <w:jc w:val="both"/>
              <w:rPr>
                <w:sz w:val="22"/>
                <w:szCs w:val="22"/>
              </w:rPr>
            </w:pPr>
          </w:p>
        </w:tc>
      </w:tr>
      <w:tr w:rsidR="00FD332F" w:rsidRPr="00AD22DE" w:rsidTr="00135D96">
        <w:trPr>
          <w:cantSplit/>
          <w:trHeight w:val="233"/>
        </w:trPr>
        <w:tc>
          <w:tcPr>
            <w:tcW w:w="918" w:type="dxa"/>
          </w:tcPr>
          <w:p w:rsidR="00FD332F" w:rsidRPr="002A23BC" w:rsidRDefault="00FD332F" w:rsidP="00FD332F">
            <w:pPr>
              <w:shd w:val="clear" w:color="auto" w:fill="FFFFFF" w:themeFill="background1"/>
              <w:rPr>
                <w:sz w:val="22"/>
                <w:szCs w:val="22"/>
                <w:highlight w:val="magenta"/>
              </w:rPr>
            </w:pPr>
            <w:r>
              <w:rPr>
                <w:sz w:val="22"/>
                <w:szCs w:val="22"/>
              </w:rPr>
              <w:t>13</w:t>
            </w:r>
          </w:p>
        </w:tc>
        <w:tc>
          <w:tcPr>
            <w:tcW w:w="1125" w:type="dxa"/>
          </w:tcPr>
          <w:p w:rsidR="00FD332F" w:rsidRPr="002A23BC" w:rsidRDefault="00FD332F" w:rsidP="00FD332F">
            <w:pPr>
              <w:shd w:val="clear" w:color="auto" w:fill="FFFFFF" w:themeFill="background1"/>
              <w:rPr>
                <w:sz w:val="22"/>
                <w:szCs w:val="22"/>
                <w:highlight w:val="magenta"/>
              </w:rPr>
            </w:pPr>
            <w:r>
              <w:rPr>
                <w:sz w:val="22"/>
                <w:szCs w:val="22"/>
              </w:rPr>
              <w:t>40</w:t>
            </w:r>
          </w:p>
        </w:tc>
        <w:tc>
          <w:tcPr>
            <w:tcW w:w="8145" w:type="dxa"/>
            <w:gridSpan w:val="2"/>
          </w:tcPr>
          <w:p w:rsidR="00FD332F" w:rsidRPr="002A23BC" w:rsidRDefault="00FD332F" w:rsidP="00FD332F">
            <w:pPr>
              <w:shd w:val="clear" w:color="auto" w:fill="FFFFFF" w:themeFill="background1"/>
              <w:jc w:val="both"/>
              <w:rPr>
                <w:sz w:val="22"/>
                <w:szCs w:val="22"/>
                <w:highlight w:val="magenta"/>
              </w:rPr>
            </w:pPr>
            <w:r>
              <w:rPr>
                <w:sz w:val="22"/>
                <w:szCs w:val="22"/>
              </w:rPr>
              <w:t>It is recommended that Table 1 be moved closer to where it is first cited (i.e. page 10) for ease of reference. Currently, there are a number of other sections that appear before Table 1.</w:t>
            </w:r>
          </w:p>
        </w:tc>
      </w:tr>
      <w:tr w:rsidR="00FD332F" w:rsidRPr="00AD22DE" w:rsidTr="00135D96">
        <w:trPr>
          <w:cantSplit/>
          <w:trHeight w:val="233"/>
        </w:trPr>
        <w:tc>
          <w:tcPr>
            <w:tcW w:w="918" w:type="dxa"/>
          </w:tcPr>
          <w:p w:rsidR="00FD332F" w:rsidRPr="002A23BC" w:rsidRDefault="00FD332F" w:rsidP="00FD332F">
            <w:pPr>
              <w:shd w:val="clear" w:color="auto" w:fill="FFFFFF" w:themeFill="background1"/>
              <w:rPr>
                <w:sz w:val="22"/>
                <w:szCs w:val="22"/>
                <w:highlight w:val="magenta"/>
              </w:rPr>
            </w:pPr>
            <w:r>
              <w:rPr>
                <w:sz w:val="22"/>
                <w:szCs w:val="22"/>
              </w:rPr>
              <w:t>15</w:t>
            </w:r>
          </w:p>
        </w:tc>
        <w:tc>
          <w:tcPr>
            <w:tcW w:w="1125" w:type="dxa"/>
          </w:tcPr>
          <w:p w:rsidR="00FD332F" w:rsidRPr="002A23BC" w:rsidRDefault="00FD332F" w:rsidP="00FD332F">
            <w:pPr>
              <w:shd w:val="clear" w:color="auto" w:fill="FFFFFF" w:themeFill="background1"/>
              <w:rPr>
                <w:sz w:val="22"/>
                <w:szCs w:val="22"/>
                <w:highlight w:val="magenta"/>
              </w:rPr>
            </w:pPr>
            <w:r>
              <w:rPr>
                <w:sz w:val="22"/>
                <w:szCs w:val="22"/>
              </w:rPr>
              <w:t>13 and 14</w:t>
            </w:r>
          </w:p>
        </w:tc>
        <w:tc>
          <w:tcPr>
            <w:tcW w:w="8145" w:type="dxa"/>
            <w:gridSpan w:val="2"/>
          </w:tcPr>
          <w:p w:rsidR="00FD332F" w:rsidRDefault="00FD332F" w:rsidP="00FD332F">
            <w:pPr>
              <w:shd w:val="clear" w:color="auto" w:fill="FFFFFF" w:themeFill="background1"/>
              <w:jc w:val="both"/>
              <w:rPr>
                <w:sz w:val="22"/>
                <w:szCs w:val="22"/>
              </w:rPr>
            </w:pPr>
            <w:r>
              <w:rPr>
                <w:sz w:val="22"/>
                <w:szCs w:val="22"/>
              </w:rPr>
              <w:t>T</w:t>
            </w:r>
            <w:r w:rsidRPr="002B5456">
              <w:rPr>
                <w:sz w:val="22"/>
                <w:szCs w:val="22"/>
              </w:rPr>
              <w:t>he lack of an international agreed-upon definition of ‘’Synthetic Biology’’</w:t>
            </w:r>
            <w:r>
              <w:rPr>
                <w:sz w:val="22"/>
                <w:szCs w:val="22"/>
              </w:rPr>
              <w:t xml:space="preserve"> is a great concern</w:t>
            </w:r>
            <w:r w:rsidRPr="002B5456">
              <w:rPr>
                <w:sz w:val="22"/>
                <w:szCs w:val="22"/>
              </w:rPr>
              <w:t>. Without progress made on an agreed-upon definition, the content of the document is merely a suggestion according to the proposed definition suggested in lines 13 and 14 of page 15.</w:t>
            </w:r>
          </w:p>
          <w:p w:rsidR="00FD332F" w:rsidRPr="002A23BC" w:rsidRDefault="00FD332F" w:rsidP="00FD332F">
            <w:pPr>
              <w:shd w:val="clear" w:color="auto" w:fill="FFFFFF" w:themeFill="background1"/>
              <w:jc w:val="both"/>
              <w:rPr>
                <w:sz w:val="22"/>
                <w:szCs w:val="22"/>
                <w:highlight w:val="magenta"/>
              </w:rPr>
            </w:pPr>
            <w:r>
              <w:rPr>
                <w:sz w:val="22"/>
                <w:szCs w:val="22"/>
              </w:rPr>
              <w:t>It is suggested that the</w:t>
            </w:r>
            <w:r w:rsidRPr="002B5456">
              <w:rPr>
                <w:sz w:val="22"/>
                <w:szCs w:val="22"/>
              </w:rPr>
              <w:t xml:space="preserve"> document </w:t>
            </w:r>
            <w:r>
              <w:rPr>
                <w:sz w:val="22"/>
                <w:szCs w:val="22"/>
              </w:rPr>
              <w:t xml:space="preserve">be updated </w:t>
            </w:r>
            <w:r w:rsidRPr="002B5456">
              <w:rPr>
                <w:sz w:val="22"/>
                <w:szCs w:val="22"/>
              </w:rPr>
              <w:t>again after a clear definition is agreed upon internationally for Synthetic Biology</w:t>
            </w:r>
            <w:r>
              <w:rPr>
                <w:sz w:val="22"/>
                <w:szCs w:val="22"/>
              </w:rPr>
              <w:t xml:space="preserve">. </w:t>
            </w:r>
          </w:p>
        </w:tc>
      </w:tr>
      <w:tr w:rsidR="00FD332F" w:rsidRPr="00AD22DE" w:rsidTr="00135D96">
        <w:trPr>
          <w:cantSplit/>
          <w:trHeight w:val="233"/>
        </w:trPr>
        <w:tc>
          <w:tcPr>
            <w:tcW w:w="918" w:type="dxa"/>
          </w:tcPr>
          <w:p w:rsidR="00FD332F" w:rsidRPr="002A23BC" w:rsidRDefault="00FD332F" w:rsidP="00FD332F">
            <w:pPr>
              <w:shd w:val="clear" w:color="auto" w:fill="FFFFFF" w:themeFill="background1"/>
              <w:rPr>
                <w:sz w:val="22"/>
                <w:szCs w:val="22"/>
                <w:highlight w:val="magenta"/>
              </w:rPr>
            </w:pPr>
            <w:r>
              <w:rPr>
                <w:sz w:val="22"/>
                <w:szCs w:val="22"/>
              </w:rPr>
              <w:t>18</w:t>
            </w:r>
          </w:p>
        </w:tc>
        <w:tc>
          <w:tcPr>
            <w:tcW w:w="1125" w:type="dxa"/>
          </w:tcPr>
          <w:p w:rsidR="00FD332F" w:rsidRPr="002A23BC" w:rsidRDefault="00FD332F" w:rsidP="00FD332F">
            <w:pPr>
              <w:shd w:val="clear" w:color="auto" w:fill="FFFFFF" w:themeFill="background1"/>
              <w:rPr>
                <w:sz w:val="22"/>
                <w:szCs w:val="22"/>
                <w:highlight w:val="magenta"/>
              </w:rPr>
            </w:pPr>
            <w:r w:rsidRPr="002B5456">
              <w:rPr>
                <w:sz w:val="22"/>
                <w:szCs w:val="22"/>
              </w:rPr>
              <w:t>28-29</w:t>
            </w:r>
          </w:p>
        </w:tc>
        <w:tc>
          <w:tcPr>
            <w:tcW w:w="8145" w:type="dxa"/>
            <w:gridSpan w:val="2"/>
          </w:tcPr>
          <w:p w:rsidR="00FD332F" w:rsidRPr="002A23BC" w:rsidRDefault="00FD332F" w:rsidP="00FD332F">
            <w:pPr>
              <w:shd w:val="clear" w:color="auto" w:fill="FFFFFF" w:themeFill="background1"/>
              <w:jc w:val="both"/>
              <w:rPr>
                <w:sz w:val="22"/>
                <w:szCs w:val="22"/>
                <w:highlight w:val="magenta"/>
              </w:rPr>
            </w:pPr>
            <w:r>
              <w:rPr>
                <w:sz w:val="22"/>
                <w:szCs w:val="22"/>
              </w:rPr>
              <w:t>N</w:t>
            </w:r>
            <w:r w:rsidRPr="002B5456">
              <w:rPr>
                <w:sz w:val="22"/>
                <w:szCs w:val="22"/>
              </w:rPr>
              <w:t xml:space="preserve">o clarity if all synthetic biology product will be seen as GMO’s or LMO’s, the document refers to gene-editing technology that most countries have indicated, when used, will lead to products that will be a non-GMO product such as technologies mentioned in line 28-29 </w:t>
            </w:r>
            <w:r w:rsidRPr="002B5456">
              <w:rPr>
                <w:sz w:val="22"/>
                <w:szCs w:val="22"/>
              </w:rPr>
              <w:lastRenderedPageBreak/>
              <w:t>of page 18. If synthetic biology will be regarded as a GMO/LMO then the inclusion of these methods in the Technical Series should be reviewed</w:t>
            </w:r>
            <w:r>
              <w:rPr>
                <w:sz w:val="22"/>
                <w:szCs w:val="22"/>
              </w:rPr>
              <w:t xml:space="preserve">. </w:t>
            </w:r>
          </w:p>
        </w:tc>
      </w:tr>
      <w:tr w:rsidR="00FD332F" w:rsidRPr="00AD22DE" w:rsidTr="00135D96">
        <w:trPr>
          <w:cantSplit/>
          <w:trHeight w:val="233"/>
        </w:trPr>
        <w:tc>
          <w:tcPr>
            <w:tcW w:w="918" w:type="dxa"/>
          </w:tcPr>
          <w:p w:rsidR="00FD332F" w:rsidRPr="002A23BC" w:rsidRDefault="00FD332F" w:rsidP="00FD332F">
            <w:pPr>
              <w:shd w:val="clear" w:color="auto" w:fill="FFFFFF" w:themeFill="background1"/>
              <w:rPr>
                <w:sz w:val="22"/>
                <w:szCs w:val="22"/>
                <w:highlight w:val="magenta"/>
              </w:rPr>
            </w:pPr>
            <w:r>
              <w:rPr>
                <w:sz w:val="22"/>
                <w:szCs w:val="22"/>
              </w:rPr>
              <w:lastRenderedPageBreak/>
              <w:t>31</w:t>
            </w:r>
          </w:p>
        </w:tc>
        <w:tc>
          <w:tcPr>
            <w:tcW w:w="1125" w:type="dxa"/>
          </w:tcPr>
          <w:p w:rsidR="00FD332F" w:rsidRPr="002A23BC" w:rsidRDefault="00FD332F" w:rsidP="00FD332F">
            <w:pPr>
              <w:shd w:val="clear" w:color="auto" w:fill="FFFFFF" w:themeFill="background1"/>
              <w:rPr>
                <w:sz w:val="22"/>
                <w:szCs w:val="22"/>
                <w:highlight w:val="magenta"/>
              </w:rPr>
            </w:pPr>
            <w:r>
              <w:rPr>
                <w:sz w:val="22"/>
                <w:szCs w:val="22"/>
              </w:rPr>
              <w:t>13</w:t>
            </w:r>
          </w:p>
        </w:tc>
        <w:tc>
          <w:tcPr>
            <w:tcW w:w="8145" w:type="dxa"/>
            <w:gridSpan w:val="2"/>
          </w:tcPr>
          <w:p w:rsidR="00FD332F" w:rsidRPr="002A23BC" w:rsidRDefault="00FD332F" w:rsidP="00FD332F">
            <w:pPr>
              <w:shd w:val="clear" w:color="auto" w:fill="FFFFFF" w:themeFill="background1"/>
              <w:jc w:val="both"/>
              <w:rPr>
                <w:sz w:val="22"/>
                <w:szCs w:val="22"/>
                <w:highlight w:val="magenta"/>
              </w:rPr>
            </w:pPr>
            <w:r w:rsidRPr="002B5456">
              <w:rPr>
                <w:sz w:val="22"/>
                <w:szCs w:val="22"/>
              </w:rPr>
              <w:t>There is also reference made to “Synthetic biology applications in semi-managed, managed, or urban settings” on page 31, line 13, which includes various examples of gene-edited crops without mentioning the method used to genome edit these crops, which lead to the conclusion that all genome-edited crops fall under the scope of Synthetic-Biology. Before a definition of synthetic biology is not agreed upon this cannot be concluded.</w:t>
            </w:r>
            <w:r>
              <w:rPr>
                <w:sz w:val="22"/>
                <w:szCs w:val="22"/>
              </w:rPr>
              <w:t xml:space="preserve"> </w:t>
            </w:r>
          </w:p>
        </w:tc>
      </w:tr>
      <w:tr w:rsidR="00FD332F" w:rsidRPr="00AD22DE" w:rsidTr="00135D96">
        <w:trPr>
          <w:cantSplit/>
          <w:trHeight w:val="233"/>
        </w:trPr>
        <w:tc>
          <w:tcPr>
            <w:tcW w:w="918" w:type="dxa"/>
          </w:tcPr>
          <w:p w:rsidR="00FD332F" w:rsidRPr="002A23BC" w:rsidRDefault="00FD332F" w:rsidP="00FD332F">
            <w:pPr>
              <w:shd w:val="clear" w:color="auto" w:fill="FFFFFF" w:themeFill="background1"/>
              <w:rPr>
                <w:sz w:val="22"/>
                <w:szCs w:val="22"/>
                <w:highlight w:val="magenta"/>
              </w:rPr>
            </w:pPr>
            <w:r>
              <w:rPr>
                <w:sz w:val="22"/>
                <w:szCs w:val="22"/>
              </w:rPr>
              <w:t>42</w:t>
            </w:r>
          </w:p>
        </w:tc>
        <w:tc>
          <w:tcPr>
            <w:tcW w:w="1125" w:type="dxa"/>
          </w:tcPr>
          <w:p w:rsidR="00FD332F" w:rsidRPr="002A23BC" w:rsidRDefault="00FD332F" w:rsidP="00FD332F">
            <w:pPr>
              <w:shd w:val="clear" w:color="auto" w:fill="FFFFFF" w:themeFill="background1"/>
              <w:rPr>
                <w:sz w:val="22"/>
                <w:szCs w:val="22"/>
                <w:highlight w:val="magenta"/>
              </w:rPr>
            </w:pPr>
            <w:r>
              <w:rPr>
                <w:sz w:val="22"/>
                <w:szCs w:val="22"/>
              </w:rPr>
              <w:t>8, 28</w:t>
            </w:r>
          </w:p>
        </w:tc>
        <w:tc>
          <w:tcPr>
            <w:tcW w:w="8145" w:type="dxa"/>
            <w:gridSpan w:val="2"/>
          </w:tcPr>
          <w:p w:rsidR="00FD332F" w:rsidRPr="002A23BC" w:rsidRDefault="00FD332F" w:rsidP="00FD332F">
            <w:pPr>
              <w:shd w:val="clear" w:color="auto" w:fill="FFFFFF" w:themeFill="background1"/>
              <w:jc w:val="both"/>
              <w:rPr>
                <w:sz w:val="22"/>
                <w:szCs w:val="22"/>
                <w:highlight w:val="magenta"/>
              </w:rPr>
            </w:pPr>
            <w:r>
              <w:rPr>
                <w:sz w:val="22"/>
                <w:szCs w:val="22"/>
              </w:rPr>
              <w:t xml:space="preserve">The reference list need to be checked. It was noted that the reference for Reynolds (2020) was incorrectly cited and referenced as Reynolds 2021 when it should be Reynolds (2020). This same reference was also cited as Reynolds 2021b which does not appear in the reference list. This error was found by co-incidence, therefore, it is recommended that the entire reference list be checked for errors. </w:t>
            </w:r>
          </w:p>
        </w:tc>
      </w:tr>
      <w:tr w:rsidR="00FD332F" w:rsidRPr="008C7874" w:rsidTr="008C7874">
        <w:trPr>
          <w:cantSplit/>
          <w:trHeight w:val="233"/>
        </w:trPr>
        <w:tc>
          <w:tcPr>
            <w:tcW w:w="918" w:type="dxa"/>
            <w:shd w:val="clear" w:color="auto" w:fill="FFFFFF" w:themeFill="background1"/>
          </w:tcPr>
          <w:p w:rsidR="00FD332F" w:rsidRPr="008C7874" w:rsidRDefault="00FD332F" w:rsidP="00FD332F">
            <w:pPr>
              <w:rPr>
                <w:sz w:val="22"/>
                <w:szCs w:val="22"/>
              </w:rPr>
            </w:pPr>
            <w:r w:rsidRPr="008C7874">
              <w:rPr>
                <w:sz w:val="22"/>
                <w:szCs w:val="22"/>
              </w:rPr>
              <w:t>54</w:t>
            </w:r>
          </w:p>
        </w:tc>
        <w:tc>
          <w:tcPr>
            <w:tcW w:w="1125" w:type="dxa"/>
            <w:shd w:val="clear" w:color="auto" w:fill="FFFFFF" w:themeFill="background1"/>
          </w:tcPr>
          <w:p w:rsidR="00FD332F" w:rsidRPr="008C7874" w:rsidRDefault="00FD332F" w:rsidP="00FD332F">
            <w:pPr>
              <w:rPr>
                <w:sz w:val="22"/>
                <w:szCs w:val="22"/>
              </w:rPr>
            </w:pPr>
            <w:r w:rsidRPr="008C7874">
              <w:rPr>
                <w:sz w:val="22"/>
                <w:szCs w:val="22"/>
              </w:rPr>
              <w:t>27-28</w:t>
            </w:r>
          </w:p>
        </w:tc>
        <w:tc>
          <w:tcPr>
            <w:tcW w:w="8145" w:type="dxa"/>
            <w:gridSpan w:val="2"/>
            <w:shd w:val="clear" w:color="auto" w:fill="FFFFFF" w:themeFill="background1"/>
          </w:tcPr>
          <w:p w:rsidR="00FD332F" w:rsidRPr="008C7874" w:rsidRDefault="00FD332F" w:rsidP="00FD332F">
            <w:pPr>
              <w:jc w:val="both"/>
              <w:rPr>
                <w:sz w:val="22"/>
                <w:szCs w:val="22"/>
              </w:rPr>
            </w:pPr>
            <w:r w:rsidRPr="008C7874">
              <w:rPr>
                <w:sz w:val="22"/>
                <w:szCs w:val="22"/>
                <w:lang w:val="en-ZA"/>
              </w:rPr>
              <w:t>The potential use of synthetic biology for bioterrorism, biological warfare and the construction of novel organisms designed to be hostile to human highlights the need to bring on board ministries responsible for this in the regulatory system</w:t>
            </w:r>
          </w:p>
        </w:tc>
      </w:tr>
      <w:tr w:rsidR="00FD332F" w:rsidRPr="008C7874" w:rsidTr="008C7874">
        <w:trPr>
          <w:cantSplit/>
          <w:trHeight w:val="233"/>
        </w:trPr>
        <w:tc>
          <w:tcPr>
            <w:tcW w:w="918" w:type="dxa"/>
            <w:shd w:val="clear" w:color="auto" w:fill="FFFFFF" w:themeFill="background1"/>
          </w:tcPr>
          <w:p w:rsidR="00FD332F" w:rsidRPr="008C7874" w:rsidRDefault="00FD332F" w:rsidP="00FD332F">
            <w:pPr>
              <w:rPr>
                <w:sz w:val="22"/>
                <w:szCs w:val="22"/>
              </w:rPr>
            </w:pPr>
            <w:r w:rsidRPr="008C7874">
              <w:rPr>
                <w:sz w:val="22"/>
                <w:szCs w:val="22"/>
              </w:rPr>
              <w:t>66</w:t>
            </w:r>
          </w:p>
        </w:tc>
        <w:tc>
          <w:tcPr>
            <w:tcW w:w="1125" w:type="dxa"/>
            <w:shd w:val="clear" w:color="auto" w:fill="FFFFFF" w:themeFill="background1"/>
          </w:tcPr>
          <w:p w:rsidR="00FD332F" w:rsidRPr="008C7874" w:rsidRDefault="00FD332F" w:rsidP="00FD332F">
            <w:pPr>
              <w:rPr>
                <w:sz w:val="22"/>
                <w:szCs w:val="22"/>
              </w:rPr>
            </w:pPr>
            <w:r w:rsidRPr="008C7874">
              <w:rPr>
                <w:sz w:val="22"/>
                <w:szCs w:val="22"/>
              </w:rPr>
              <w:t>34-38</w:t>
            </w:r>
          </w:p>
        </w:tc>
        <w:tc>
          <w:tcPr>
            <w:tcW w:w="8145" w:type="dxa"/>
            <w:gridSpan w:val="2"/>
            <w:shd w:val="clear" w:color="auto" w:fill="FFFFFF" w:themeFill="background1"/>
          </w:tcPr>
          <w:p w:rsidR="00FD332F" w:rsidRPr="008C7874" w:rsidRDefault="00FD332F" w:rsidP="00FD332F">
            <w:pPr>
              <w:jc w:val="both"/>
              <w:rPr>
                <w:sz w:val="22"/>
                <w:szCs w:val="22"/>
              </w:rPr>
            </w:pPr>
            <w:r w:rsidRPr="008C7874">
              <w:rPr>
                <w:sz w:val="22"/>
                <w:szCs w:val="22"/>
                <w:lang w:val="en-ZA"/>
              </w:rPr>
              <w:t xml:space="preserve">South Africa does not yet have a policy/guidance describing which genome-edited applications are not required to follow as indicated in the document. The decision-making body supported a scientific committee is considering different views from a experts and a range of stakeholders, including scientific experts, and reports such as </w:t>
            </w:r>
            <w:r w:rsidRPr="008C7874">
              <w:t>“</w:t>
            </w:r>
            <w:r w:rsidRPr="008C7874">
              <w:rPr>
                <w:sz w:val="22"/>
                <w:szCs w:val="22"/>
                <w:lang w:val="en-ZA"/>
              </w:rPr>
              <w:t>The Regulatory Implications Of New Breeding Techniques” developed by the Academy of Science of South Africa (</w:t>
            </w:r>
            <w:proofErr w:type="spellStart"/>
            <w:r w:rsidRPr="008C7874">
              <w:rPr>
                <w:sz w:val="22"/>
                <w:szCs w:val="22"/>
                <w:lang w:val="en-ZA"/>
              </w:rPr>
              <w:t>ASSAf</w:t>
            </w:r>
            <w:proofErr w:type="spellEnd"/>
            <w:r w:rsidRPr="008C7874">
              <w:rPr>
                <w:sz w:val="22"/>
                <w:szCs w:val="22"/>
                <w:lang w:val="en-ZA"/>
              </w:rPr>
              <w:t>) (2016) to formulate a country position on how genome edited organisms will be regulated.</w:t>
            </w:r>
          </w:p>
        </w:tc>
      </w:tr>
      <w:tr w:rsidR="00FD332F" w:rsidRPr="008C7874" w:rsidTr="008C7874">
        <w:trPr>
          <w:cantSplit/>
          <w:trHeight w:val="233"/>
        </w:trPr>
        <w:tc>
          <w:tcPr>
            <w:tcW w:w="918" w:type="dxa"/>
            <w:shd w:val="clear" w:color="auto" w:fill="FFFFFF" w:themeFill="background1"/>
          </w:tcPr>
          <w:p w:rsidR="00FD332F" w:rsidRPr="008C7874" w:rsidRDefault="00FD332F" w:rsidP="00FD332F">
            <w:pPr>
              <w:rPr>
                <w:sz w:val="22"/>
                <w:szCs w:val="22"/>
              </w:rPr>
            </w:pPr>
            <w:r w:rsidRPr="008C7874">
              <w:rPr>
                <w:sz w:val="22"/>
                <w:szCs w:val="22"/>
              </w:rPr>
              <w:t>81</w:t>
            </w:r>
          </w:p>
        </w:tc>
        <w:tc>
          <w:tcPr>
            <w:tcW w:w="1125" w:type="dxa"/>
            <w:shd w:val="clear" w:color="auto" w:fill="FFFFFF" w:themeFill="background1"/>
          </w:tcPr>
          <w:p w:rsidR="00FD332F" w:rsidRPr="008C7874" w:rsidRDefault="00FD332F" w:rsidP="00FD332F">
            <w:pPr>
              <w:rPr>
                <w:sz w:val="22"/>
                <w:szCs w:val="22"/>
              </w:rPr>
            </w:pPr>
            <w:r w:rsidRPr="008C7874">
              <w:rPr>
                <w:sz w:val="22"/>
                <w:szCs w:val="22"/>
              </w:rPr>
              <w:t>31</w:t>
            </w:r>
          </w:p>
        </w:tc>
        <w:tc>
          <w:tcPr>
            <w:tcW w:w="8145" w:type="dxa"/>
            <w:gridSpan w:val="2"/>
            <w:shd w:val="clear" w:color="auto" w:fill="FFFFFF" w:themeFill="background1"/>
          </w:tcPr>
          <w:p w:rsidR="00FD332F" w:rsidRPr="008C7874" w:rsidRDefault="00FD332F" w:rsidP="00FD332F">
            <w:pPr>
              <w:jc w:val="both"/>
              <w:rPr>
                <w:sz w:val="22"/>
                <w:szCs w:val="22"/>
              </w:rPr>
            </w:pPr>
            <w:r w:rsidRPr="008C7874">
              <w:rPr>
                <w:sz w:val="22"/>
                <w:szCs w:val="22"/>
              </w:rPr>
              <w:t>This section should appear earlier on in the document and summarised</w:t>
            </w:r>
          </w:p>
        </w:tc>
      </w:tr>
      <w:tr w:rsidR="00FD332F" w:rsidRPr="008C7874" w:rsidTr="008C7874">
        <w:trPr>
          <w:cantSplit/>
          <w:trHeight w:val="233"/>
        </w:trPr>
        <w:tc>
          <w:tcPr>
            <w:tcW w:w="918" w:type="dxa"/>
            <w:shd w:val="clear" w:color="auto" w:fill="FFFFFF" w:themeFill="background1"/>
          </w:tcPr>
          <w:p w:rsidR="00FD332F" w:rsidRPr="008C7874" w:rsidRDefault="00FD332F" w:rsidP="00FD332F">
            <w:pPr>
              <w:rPr>
                <w:sz w:val="22"/>
                <w:szCs w:val="22"/>
              </w:rPr>
            </w:pPr>
            <w:r w:rsidRPr="008C7874">
              <w:rPr>
                <w:sz w:val="22"/>
                <w:szCs w:val="22"/>
              </w:rPr>
              <w:t>90</w:t>
            </w:r>
          </w:p>
        </w:tc>
        <w:tc>
          <w:tcPr>
            <w:tcW w:w="1125" w:type="dxa"/>
            <w:shd w:val="clear" w:color="auto" w:fill="FFFFFF" w:themeFill="background1"/>
          </w:tcPr>
          <w:p w:rsidR="00FD332F" w:rsidRPr="008C7874" w:rsidRDefault="00FD332F" w:rsidP="00FD332F">
            <w:pPr>
              <w:rPr>
                <w:sz w:val="22"/>
                <w:szCs w:val="22"/>
              </w:rPr>
            </w:pPr>
            <w:r w:rsidRPr="008C7874">
              <w:rPr>
                <w:sz w:val="22"/>
                <w:szCs w:val="22"/>
              </w:rPr>
              <w:t>6</w:t>
            </w:r>
          </w:p>
        </w:tc>
        <w:tc>
          <w:tcPr>
            <w:tcW w:w="8145" w:type="dxa"/>
            <w:gridSpan w:val="2"/>
            <w:shd w:val="clear" w:color="auto" w:fill="FFFFFF" w:themeFill="background1"/>
          </w:tcPr>
          <w:p w:rsidR="00FD332F" w:rsidRPr="008C7874" w:rsidRDefault="00FD332F" w:rsidP="00FD332F">
            <w:pPr>
              <w:jc w:val="both"/>
              <w:rPr>
                <w:sz w:val="22"/>
                <w:szCs w:val="22"/>
              </w:rPr>
            </w:pPr>
            <w:r w:rsidRPr="008C7874">
              <w:rPr>
                <w:bCs/>
                <w:sz w:val="22"/>
                <w:szCs w:val="22"/>
                <w:lang w:val="en-ZA"/>
              </w:rPr>
              <w:t xml:space="preserve">This section seems to be repeating information from the text of the Protocol without linking it to synthetic biology. Therefore, we propose deletion. </w:t>
            </w:r>
          </w:p>
        </w:tc>
      </w:tr>
      <w:tr w:rsidR="00FD332F" w:rsidRPr="00AD22DE" w:rsidTr="008C7874">
        <w:trPr>
          <w:cantSplit/>
          <w:trHeight w:val="233"/>
        </w:trPr>
        <w:tc>
          <w:tcPr>
            <w:tcW w:w="918" w:type="dxa"/>
            <w:shd w:val="clear" w:color="auto" w:fill="FFFFFF" w:themeFill="background1"/>
          </w:tcPr>
          <w:p w:rsidR="00FD332F" w:rsidRPr="008C7874" w:rsidRDefault="00FD332F" w:rsidP="00FD332F">
            <w:pPr>
              <w:rPr>
                <w:sz w:val="22"/>
                <w:szCs w:val="22"/>
              </w:rPr>
            </w:pPr>
            <w:r w:rsidRPr="008C7874">
              <w:rPr>
                <w:sz w:val="22"/>
                <w:szCs w:val="22"/>
              </w:rPr>
              <w:t>131</w:t>
            </w:r>
          </w:p>
        </w:tc>
        <w:tc>
          <w:tcPr>
            <w:tcW w:w="1125" w:type="dxa"/>
            <w:shd w:val="clear" w:color="auto" w:fill="FFFFFF" w:themeFill="background1"/>
          </w:tcPr>
          <w:p w:rsidR="00FD332F" w:rsidRPr="008C7874" w:rsidRDefault="00FD332F" w:rsidP="00FD332F">
            <w:pPr>
              <w:rPr>
                <w:sz w:val="22"/>
                <w:szCs w:val="22"/>
              </w:rPr>
            </w:pPr>
            <w:r w:rsidRPr="008C7874">
              <w:rPr>
                <w:sz w:val="22"/>
                <w:szCs w:val="22"/>
              </w:rPr>
              <w:t>36-44</w:t>
            </w:r>
          </w:p>
        </w:tc>
        <w:tc>
          <w:tcPr>
            <w:tcW w:w="8145" w:type="dxa"/>
            <w:gridSpan w:val="2"/>
            <w:shd w:val="clear" w:color="auto" w:fill="FFFFFF" w:themeFill="background1"/>
          </w:tcPr>
          <w:p w:rsidR="00FD332F" w:rsidRDefault="00FD332F" w:rsidP="00FD332F">
            <w:pPr>
              <w:jc w:val="both"/>
              <w:rPr>
                <w:sz w:val="22"/>
                <w:szCs w:val="22"/>
              </w:rPr>
            </w:pPr>
            <w:r w:rsidRPr="008C7874">
              <w:rPr>
                <w:sz w:val="22"/>
                <w:szCs w:val="22"/>
              </w:rPr>
              <w:t xml:space="preserve">Regulation of Synthetic Biology at national levels should consider a synergistic approach between government and institutions, and alternatively a governance system that depend on an independent authority can be utilized especially for those products and/or technologies that do not fall within the scope of existing regulatory frameworks. Miller and </w:t>
            </w:r>
            <w:proofErr w:type="spellStart"/>
            <w:r w:rsidRPr="008C7874">
              <w:rPr>
                <w:sz w:val="22"/>
                <w:szCs w:val="22"/>
              </w:rPr>
              <w:t>Selgelid</w:t>
            </w:r>
            <w:proofErr w:type="spellEnd"/>
            <w:r w:rsidRPr="008C7874">
              <w:rPr>
                <w:sz w:val="22"/>
                <w:szCs w:val="22"/>
              </w:rPr>
              <w:t xml:space="preserve"> (2007) suggested this approach.</w:t>
            </w:r>
          </w:p>
          <w:p w:rsidR="00FD332F" w:rsidRPr="008C7874" w:rsidRDefault="00FD332F" w:rsidP="00FD332F">
            <w:pPr>
              <w:jc w:val="both"/>
              <w:rPr>
                <w:sz w:val="22"/>
                <w:szCs w:val="22"/>
              </w:rPr>
            </w:pPr>
          </w:p>
          <w:p w:rsidR="00FD332F" w:rsidRPr="008C7874" w:rsidRDefault="00FD332F" w:rsidP="00FD332F">
            <w:pPr>
              <w:jc w:val="both"/>
              <w:rPr>
                <w:sz w:val="22"/>
                <w:szCs w:val="22"/>
              </w:rPr>
            </w:pPr>
            <w:r w:rsidRPr="008C7874">
              <w:rPr>
                <w:sz w:val="22"/>
                <w:szCs w:val="22"/>
              </w:rPr>
              <w:t>Synthetic biology is also anticipated to increase the amount of genetically engineered organisms to be reviewed and the use of an independent authority will also be useful to curb the influx and unburden the existing regulatory systems.</w:t>
            </w:r>
          </w:p>
        </w:tc>
      </w:tr>
    </w:tbl>
    <w:p w:rsidR="00593BC6" w:rsidRDefault="00593BC6" w:rsidP="008C7874">
      <w:pPr>
        <w:tabs>
          <w:tab w:val="left" w:pos="7020"/>
        </w:tabs>
        <w:ind w:right="44"/>
        <w:jc w:val="both"/>
        <w:rPr>
          <w:szCs w:val="22"/>
        </w:rPr>
      </w:pPr>
    </w:p>
    <w:p w:rsidR="000C5275" w:rsidRDefault="000C5275" w:rsidP="00593BC6">
      <w:pPr>
        <w:tabs>
          <w:tab w:val="left" w:pos="7020"/>
        </w:tabs>
        <w:ind w:right="44"/>
        <w:jc w:val="both"/>
        <w:rPr>
          <w:b/>
          <w:szCs w:val="22"/>
        </w:rPr>
      </w:pPr>
      <w:r w:rsidRPr="00DF163A">
        <w:rPr>
          <w:b/>
          <w:szCs w:val="22"/>
        </w:rPr>
        <w:t>References:</w:t>
      </w:r>
    </w:p>
    <w:p w:rsidR="00DF163A" w:rsidRPr="00DF163A" w:rsidRDefault="00DF163A" w:rsidP="00593BC6">
      <w:pPr>
        <w:tabs>
          <w:tab w:val="left" w:pos="7020"/>
        </w:tabs>
        <w:ind w:right="44"/>
        <w:jc w:val="both"/>
        <w:rPr>
          <w:b/>
          <w:szCs w:val="22"/>
        </w:rPr>
      </w:pPr>
    </w:p>
    <w:p w:rsidR="000C5275" w:rsidRDefault="000C5275" w:rsidP="00593BC6">
      <w:pPr>
        <w:tabs>
          <w:tab w:val="left" w:pos="7020"/>
        </w:tabs>
        <w:ind w:right="44"/>
        <w:jc w:val="both"/>
        <w:rPr>
          <w:szCs w:val="22"/>
        </w:rPr>
      </w:pPr>
      <w:r>
        <w:rPr>
          <w:szCs w:val="22"/>
        </w:rPr>
        <w:t>Trump B.D et al. 2019. Review: Co-evolution of physical and social sciences in synthetic biology</w:t>
      </w:r>
      <w:r w:rsidR="00DF163A">
        <w:rPr>
          <w:szCs w:val="22"/>
        </w:rPr>
        <w:t>. Critical Reviews in Biotechnology 39(3): 351-365</w:t>
      </w:r>
    </w:p>
    <w:p w:rsidR="002B5456" w:rsidRDefault="002B5456" w:rsidP="00593BC6">
      <w:pPr>
        <w:tabs>
          <w:tab w:val="left" w:pos="7020"/>
        </w:tabs>
        <w:ind w:right="44"/>
        <w:jc w:val="both"/>
        <w:rPr>
          <w:szCs w:val="22"/>
        </w:rPr>
      </w:pPr>
    </w:p>
    <w:p w:rsidR="002B5456" w:rsidRDefault="002B5456" w:rsidP="00593BC6">
      <w:pPr>
        <w:tabs>
          <w:tab w:val="left" w:pos="7020"/>
        </w:tabs>
        <w:ind w:right="44"/>
        <w:jc w:val="both"/>
        <w:rPr>
          <w:szCs w:val="22"/>
        </w:rPr>
      </w:pPr>
      <w:r w:rsidRPr="00D65698">
        <w:rPr>
          <w:szCs w:val="22"/>
        </w:rPr>
        <w:t xml:space="preserve">Miller S, </w:t>
      </w:r>
      <w:proofErr w:type="spellStart"/>
      <w:r w:rsidRPr="00D65698">
        <w:rPr>
          <w:szCs w:val="22"/>
        </w:rPr>
        <w:t>Selgelid</w:t>
      </w:r>
      <w:proofErr w:type="spellEnd"/>
      <w:r w:rsidRPr="00D65698">
        <w:rPr>
          <w:szCs w:val="22"/>
        </w:rPr>
        <w:t xml:space="preserve"> MJ. 2007. Ethical and philosophical consideration of the dual-use dilemma in the biological sciences. </w:t>
      </w:r>
      <w:proofErr w:type="spellStart"/>
      <w:r w:rsidRPr="00D65698">
        <w:rPr>
          <w:szCs w:val="22"/>
        </w:rPr>
        <w:t>Sci</w:t>
      </w:r>
      <w:proofErr w:type="spellEnd"/>
      <w:r w:rsidRPr="00D65698">
        <w:rPr>
          <w:szCs w:val="22"/>
        </w:rPr>
        <w:t xml:space="preserve"> </w:t>
      </w:r>
      <w:proofErr w:type="spellStart"/>
      <w:r w:rsidRPr="00D65698">
        <w:rPr>
          <w:szCs w:val="22"/>
        </w:rPr>
        <w:t>Eng</w:t>
      </w:r>
      <w:proofErr w:type="spellEnd"/>
      <w:r w:rsidRPr="00D65698">
        <w:rPr>
          <w:szCs w:val="22"/>
        </w:rPr>
        <w:t xml:space="preserve"> Ethics 13:523–580</w:t>
      </w:r>
    </w:p>
    <w:p w:rsidR="00593BC6" w:rsidRDefault="00593BC6" w:rsidP="00593BC6">
      <w:pPr>
        <w:tabs>
          <w:tab w:val="left" w:pos="7020"/>
        </w:tabs>
        <w:ind w:right="44"/>
        <w:jc w:val="both"/>
        <w:rPr>
          <w:szCs w:val="22"/>
        </w:rPr>
      </w:pPr>
    </w:p>
    <w:p w:rsidR="00593BC6" w:rsidRDefault="00593BC6" w:rsidP="00593BC6">
      <w:pPr>
        <w:tabs>
          <w:tab w:val="left" w:pos="7020"/>
        </w:tabs>
        <w:ind w:right="44"/>
        <w:jc w:val="both"/>
        <w:rPr>
          <w:szCs w:val="22"/>
        </w:rPr>
      </w:pPr>
    </w:p>
    <w:p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7"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8"/>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9D" w:rsidRDefault="00AD679D" w:rsidP="00593BC6">
      <w:r>
        <w:separator/>
      </w:r>
    </w:p>
  </w:endnote>
  <w:endnote w:type="continuationSeparator" w:id="0">
    <w:p w:rsidR="00AD679D" w:rsidRDefault="00AD679D"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9D" w:rsidRDefault="00AD679D" w:rsidP="00593BC6">
      <w:r>
        <w:separator/>
      </w:r>
    </w:p>
  </w:footnote>
  <w:footnote w:type="continuationSeparator" w:id="0">
    <w:p w:rsidR="00AD679D" w:rsidRDefault="00AD679D" w:rsidP="00593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54613"/>
    <w:rsid w:val="00091F4D"/>
    <w:rsid w:val="000A54FC"/>
    <w:rsid w:val="000C5275"/>
    <w:rsid w:val="000E2E07"/>
    <w:rsid w:val="00135D96"/>
    <w:rsid w:val="001A0308"/>
    <w:rsid w:val="001B6261"/>
    <w:rsid w:val="0024383F"/>
    <w:rsid w:val="00293F84"/>
    <w:rsid w:val="002A23BC"/>
    <w:rsid w:val="002B5456"/>
    <w:rsid w:val="0032155A"/>
    <w:rsid w:val="00363EF2"/>
    <w:rsid w:val="003925B2"/>
    <w:rsid w:val="00393449"/>
    <w:rsid w:val="003C5737"/>
    <w:rsid w:val="003D26FA"/>
    <w:rsid w:val="003E27E5"/>
    <w:rsid w:val="00404F06"/>
    <w:rsid w:val="00430349"/>
    <w:rsid w:val="004428A6"/>
    <w:rsid w:val="004B6042"/>
    <w:rsid w:val="004D6145"/>
    <w:rsid w:val="004E426F"/>
    <w:rsid w:val="00524BE0"/>
    <w:rsid w:val="005411E6"/>
    <w:rsid w:val="00571161"/>
    <w:rsid w:val="00593BC6"/>
    <w:rsid w:val="00594E31"/>
    <w:rsid w:val="005C4C24"/>
    <w:rsid w:val="005C5AB4"/>
    <w:rsid w:val="00652D1D"/>
    <w:rsid w:val="00674B7F"/>
    <w:rsid w:val="00735FF1"/>
    <w:rsid w:val="007803AD"/>
    <w:rsid w:val="00780EC4"/>
    <w:rsid w:val="007C704C"/>
    <w:rsid w:val="00807AB9"/>
    <w:rsid w:val="00854B69"/>
    <w:rsid w:val="00872EB7"/>
    <w:rsid w:val="008751CA"/>
    <w:rsid w:val="008C05B8"/>
    <w:rsid w:val="008C7874"/>
    <w:rsid w:val="00991F51"/>
    <w:rsid w:val="00A05BE6"/>
    <w:rsid w:val="00A545C6"/>
    <w:rsid w:val="00A90BE3"/>
    <w:rsid w:val="00AD22DE"/>
    <w:rsid w:val="00AD679D"/>
    <w:rsid w:val="00B06002"/>
    <w:rsid w:val="00B145F8"/>
    <w:rsid w:val="00B30682"/>
    <w:rsid w:val="00B373CC"/>
    <w:rsid w:val="00B662B0"/>
    <w:rsid w:val="00BB14D8"/>
    <w:rsid w:val="00BD5D26"/>
    <w:rsid w:val="00C33566"/>
    <w:rsid w:val="00D60758"/>
    <w:rsid w:val="00D63CDE"/>
    <w:rsid w:val="00D65698"/>
    <w:rsid w:val="00D96962"/>
    <w:rsid w:val="00D97576"/>
    <w:rsid w:val="00DD4F55"/>
    <w:rsid w:val="00DE52C3"/>
    <w:rsid w:val="00DF163A"/>
    <w:rsid w:val="00E227B2"/>
    <w:rsid w:val="00EA105F"/>
    <w:rsid w:val="00F73C17"/>
    <w:rsid w:val="00F754C0"/>
    <w:rsid w:val="00F8658F"/>
    <w:rsid w:val="00F86F63"/>
    <w:rsid w:val="00F94D0C"/>
    <w:rsid w:val="00FB07C1"/>
    <w:rsid w:val="00FB1BA9"/>
    <w:rsid w:val="00FD332F"/>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E1D78"/>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iat@cbd.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shidada@environment.gov.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1467</Words>
  <Characters>8365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9813</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Ntakadzeni Tshidada</cp:lastModifiedBy>
  <cp:revision>4</cp:revision>
  <dcterms:created xsi:type="dcterms:W3CDTF">2021-06-14T16:39:00Z</dcterms:created>
  <dcterms:modified xsi:type="dcterms:W3CDTF">2021-07-02T14:11:00Z</dcterms:modified>
</cp:coreProperties>
</file>