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6FDFC" w14:textId="759E47D6" w:rsidR="00593BC6" w:rsidRDefault="00593BC6" w:rsidP="00593BC6">
      <w:pPr>
        <w:pStyle w:val="a3"/>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a3"/>
        <w:jc w:val="center"/>
        <w:rPr>
          <w:rFonts w:ascii="Times New Roman Bold" w:hAnsi="Times New Roman Bold"/>
          <w:b/>
          <w:caps/>
          <w:sz w:val="22"/>
          <w:szCs w:val="22"/>
        </w:rPr>
      </w:pPr>
      <w:r>
        <w:rPr>
          <w:rFonts w:ascii="Times New Roman Bold" w:hAnsi="Times New Roman Bold"/>
          <w:b/>
          <w:caps/>
          <w:sz w:val="22"/>
          <w:szCs w:val="22"/>
        </w:rPr>
        <w:t>Technical series on synthetic biol</w:t>
      </w:r>
      <w:bookmarkStart w:id="0" w:name="_GoBack"/>
      <w:bookmarkEnd w:id="0"/>
      <w:r>
        <w:rPr>
          <w:rFonts w:ascii="Times New Roman Bold" w:hAnsi="Times New Roman Bold"/>
          <w:b/>
          <w:caps/>
          <w:sz w:val="22"/>
          <w:szCs w:val="22"/>
        </w:rPr>
        <w:t>ogy</w:t>
      </w:r>
    </w:p>
    <w:p w14:paraId="26EA7AB3" w14:textId="77777777" w:rsidR="00D97576" w:rsidRPr="00C658CD" w:rsidRDefault="00D97576" w:rsidP="00593BC6">
      <w:pPr>
        <w:pStyle w:val="a3"/>
        <w:jc w:val="center"/>
        <w:rPr>
          <w:rFonts w:ascii="Times New Roman Bold" w:hAnsi="Times New Roman Bold"/>
          <w:b/>
          <w:cap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1000"/>
        <w:gridCol w:w="6873"/>
      </w:tblGrid>
      <w:tr w:rsidR="00593BC6" w:rsidRPr="00F15DA3" w14:paraId="7DBA9CF5" w14:textId="77777777" w:rsidTr="007D4CCA">
        <w:trPr>
          <w:cantSplit/>
          <w:trHeight w:val="233"/>
          <w:jc w:val="center"/>
        </w:trPr>
        <w:tc>
          <w:tcPr>
            <w:tcW w:w="5000" w:type="pct"/>
            <w:gridSpan w:val="3"/>
            <w:shd w:val="clear" w:color="auto" w:fill="C0C0C0"/>
            <w:vAlign w:val="center"/>
          </w:tcPr>
          <w:p w14:paraId="0C71E9D1" w14:textId="77777777" w:rsidR="00593BC6" w:rsidRPr="00F15DA3" w:rsidRDefault="00593BC6" w:rsidP="007D4CCA">
            <w:pPr>
              <w:rPr>
                <w:b/>
                <w:sz w:val="22"/>
                <w:szCs w:val="22"/>
              </w:rPr>
            </w:pPr>
          </w:p>
          <w:p w14:paraId="0923A0AA" w14:textId="77777777" w:rsidR="00593BC6" w:rsidRPr="00F15DA3" w:rsidRDefault="00593BC6" w:rsidP="007D4CCA">
            <w:pPr>
              <w:rPr>
                <w:b/>
                <w:sz w:val="22"/>
                <w:szCs w:val="22"/>
              </w:rPr>
            </w:pPr>
            <w:r w:rsidRPr="00F15DA3">
              <w:rPr>
                <w:b/>
                <w:sz w:val="22"/>
                <w:szCs w:val="22"/>
              </w:rPr>
              <w:t>Contact information</w:t>
            </w:r>
          </w:p>
          <w:p w14:paraId="36D753E7" w14:textId="77777777" w:rsidR="00593BC6" w:rsidRPr="00F15DA3" w:rsidRDefault="00593BC6" w:rsidP="007D4CCA">
            <w:pPr>
              <w:rPr>
                <w:b/>
                <w:sz w:val="22"/>
                <w:szCs w:val="22"/>
              </w:rPr>
            </w:pPr>
          </w:p>
        </w:tc>
      </w:tr>
      <w:tr w:rsidR="00593BC6" w:rsidRPr="00F15DA3" w14:paraId="399E2057" w14:textId="77777777" w:rsidTr="009A0FD7">
        <w:trPr>
          <w:cantSplit/>
          <w:trHeight w:val="270"/>
          <w:jc w:val="center"/>
        </w:trPr>
        <w:tc>
          <w:tcPr>
            <w:tcW w:w="1207" w:type="pct"/>
            <w:gridSpan w:val="2"/>
            <w:vAlign w:val="center"/>
          </w:tcPr>
          <w:p w14:paraId="7B244D40" w14:textId="77777777" w:rsidR="00593BC6" w:rsidRPr="00F15DA3" w:rsidRDefault="00593BC6" w:rsidP="007D4CCA">
            <w:pPr>
              <w:rPr>
                <w:b/>
                <w:sz w:val="22"/>
                <w:szCs w:val="22"/>
              </w:rPr>
            </w:pPr>
            <w:r w:rsidRPr="00F15DA3">
              <w:rPr>
                <w:b/>
                <w:sz w:val="22"/>
                <w:szCs w:val="22"/>
              </w:rPr>
              <w:t>Surname:</w:t>
            </w:r>
          </w:p>
        </w:tc>
        <w:tc>
          <w:tcPr>
            <w:tcW w:w="3793" w:type="pct"/>
            <w:vAlign w:val="center"/>
          </w:tcPr>
          <w:p w14:paraId="3AB47FF8" w14:textId="79C46391" w:rsidR="00593BC6" w:rsidRPr="00F15DA3" w:rsidRDefault="00593BC6" w:rsidP="007D4CCA">
            <w:pPr>
              <w:rPr>
                <w:sz w:val="22"/>
                <w:szCs w:val="22"/>
                <w:lang w:val="en-US"/>
              </w:rPr>
            </w:pPr>
          </w:p>
        </w:tc>
      </w:tr>
      <w:tr w:rsidR="00593BC6" w:rsidRPr="00F15DA3" w14:paraId="2D70246E" w14:textId="77777777" w:rsidTr="009A0FD7">
        <w:trPr>
          <w:cantSplit/>
          <w:trHeight w:val="280"/>
          <w:jc w:val="center"/>
        </w:trPr>
        <w:tc>
          <w:tcPr>
            <w:tcW w:w="1207" w:type="pct"/>
            <w:gridSpan w:val="2"/>
            <w:vAlign w:val="center"/>
          </w:tcPr>
          <w:p w14:paraId="024B7BE1" w14:textId="77777777" w:rsidR="00593BC6" w:rsidRPr="00F15DA3" w:rsidRDefault="00593BC6" w:rsidP="007D4CCA">
            <w:pPr>
              <w:rPr>
                <w:b/>
                <w:sz w:val="22"/>
                <w:szCs w:val="22"/>
              </w:rPr>
            </w:pPr>
          </w:p>
        </w:tc>
        <w:tc>
          <w:tcPr>
            <w:tcW w:w="3793" w:type="pct"/>
            <w:vAlign w:val="center"/>
          </w:tcPr>
          <w:p w14:paraId="24DC2B26" w14:textId="77777777" w:rsidR="00593BC6" w:rsidRPr="00F15DA3" w:rsidRDefault="00593BC6" w:rsidP="007D4CCA">
            <w:pPr>
              <w:rPr>
                <w:sz w:val="22"/>
                <w:szCs w:val="22"/>
              </w:rPr>
            </w:pPr>
          </w:p>
        </w:tc>
      </w:tr>
      <w:tr w:rsidR="00593BC6" w:rsidRPr="00F15DA3" w14:paraId="6960F46D" w14:textId="77777777" w:rsidTr="009A0FD7">
        <w:trPr>
          <w:cantSplit/>
          <w:trHeight w:val="270"/>
          <w:jc w:val="center"/>
        </w:trPr>
        <w:tc>
          <w:tcPr>
            <w:tcW w:w="1207" w:type="pct"/>
            <w:gridSpan w:val="2"/>
            <w:vAlign w:val="center"/>
          </w:tcPr>
          <w:p w14:paraId="42324F5A" w14:textId="77777777" w:rsidR="00593BC6" w:rsidRPr="00F15DA3" w:rsidRDefault="00593BC6" w:rsidP="007D4CCA">
            <w:pPr>
              <w:rPr>
                <w:b/>
                <w:sz w:val="22"/>
                <w:szCs w:val="22"/>
              </w:rPr>
            </w:pPr>
            <w:r w:rsidRPr="00F15DA3">
              <w:rPr>
                <w:b/>
                <w:sz w:val="22"/>
                <w:szCs w:val="22"/>
              </w:rPr>
              <w:t>Given Name:</w:t>
            </w:r>
          </w:p>
        </w:tc>
        <w:tc>
          <w:tcPr>
            <w:tcW w:w="3793" w:type="pct"/>
            <w:vAlign w:val="center"/>
          </w:tcPr>
          <w:p w14:paraId="1F1AFCCD" w14:textId="7AA2575F" w:rsidR="00593BC6" w:rsidRPr="00F15DA3" w:rsidRDefault="00593BC6" w:rsidP="007D4CCA">
            <w:pPr>
              <w:rPr>
                <w:sz w:val="22"/>
                <w:szCs w:val="22"/>
              </w:rPr>
            </w:pPr>
          </w:p>
        </w:tc>
      </w:tr>
      <w:tr w:rsidR="00593BC6" w:rsidRPr="00F15DA3" w14:paraId="4D0E31D1" w14:textId="77777777" w:rsidTr="009A0FD7">
        <w:trPr>
          <w:cantSplit/>
          <w:trHeight w:val="280"/>
          <w:jc w:val="center"/>
        </w:trPr>
        <w:tc>
          <w:tcPr>
            <w:tcW w:w="1207" w:type="pct"/>
            <w:gridSpan w:val="2"/>
            <w:vAlign w:val="center"/>
          </w:tcPr>
          <w:p w14:paraId="478DDD07" w14:textId="77777777" w:rsidR="00593BC6" w:rsidRPr="00F15DA3" w:rsidRDefault="00593BC6" w:rsidP="007D4CCA">
            <w:pPr>
              <w:rPr>
                <w:b/>
                <w:sz w:val="22"/>
                <w:szCs w:val="22"/>
              </w:rPr>
            </w:pPr>
          </w:p>
        </w:tc>
        <w:tc>
          <w:tcPr>
            <w:tcW w:w="3793" w:type="pct"/>
            <w:vAlign w:val="center"/>
          </w:tcPr>
          <w:p w14:paraId="286530CF" w14:textId="77777777" w:rsidR="00593BC6" w:rsidRPr="00F15DA3" w:rsidRDefault="00593BC6" w:rsidP="007D4CCA">
            <w:pPr>
              <w:rPr>
                <w:sz w:val="22"/>
                <w:szCs w:val="22"/>
              </w:rPr>
            </w:pPr>
          </w:p>
        </w:tc>
      </w:tr>
      <w:tr w:rsidR="00593BC6" w:rsidRPr="00F15DA3" w14:paraId="1C3067B8" w14:textId="77777777" w:rsidTr="009A0FD7">
        <w:trPr>
          <w:cantSplit/>
          <w:trHeight w:val="270"/>
          <w:jc w:val="center"/>
        </w:trPr>
        <w:tc>
          <w:tcPr>
            <w:tcW w:w="1207" w:type="pct"/>
            <w:gridSpan w:val="2"/>
            <w:vAlign w:val="center"/>
          </w:tcPr>
          <w:p w14:paraId="3499F6BE" w14:textId="77777777" w:rsidR="00593BC6" w:rsidRPr="00F15DA3" w:rsidRDefault="00593BC6" w:rsidP="007D4CCA">
            <w:pPr>
              <w:rPr>
                <w:b/>
                <w:sz w:val="22"/>
                <w:szCs w:val="22"/>
              </w:rPr>
            </w:pPr>
            <w:r w:rsidRPr="00F15DA3">
              <w:rPr>
                <w:b/>
                <w:sz w:val="22"/>
                <w:szCs w:val="22"/>
              </w:rPr>
              <w:t>Government</w:t>
            </w:r>
          </w:p>
        </w:tc>
        <w:tc>
          <w:tcPr>
            <w:tcW w:w="3793" w:type="pct"/>
            <w:vAlign w:val="center"/>
          </w:tcPr>
          <w:p w14:paraId="119BAC5F" w14:textId="77777777" w:rsidR="00593BC6" w:rsidRPr="00F15DA3" w:rsidRDefault="00593BC6" w:rsidP="007D4CCA">
            <w:pPr>
              <w:rPr>
                <w:sz w:val="22"/>
                <w:szCs w:val="22"/>
              </w:rPr>
            </w:pPr>
          </w:p>
        </w:tc>
      </w:tr>
      <w:tr w:rsidR="00593BC6" w:rsidRPr="00F15DA3" w14:paraId="590623FC" w14:textId="77777777" w:rsidTr="009A0FD7">
        <w:trPr>
          <w:cantSplit/>
          <w:trHeight w:val="280"/>
          <w:jc w:val="center"/>
        </w:trPr>
        <w:tc>
          <w:tcPr>
            <w:tcW w:w="1207" w:type="pct"/>
            <w:gridSpan w:val="2"/>
            <w:vAlign w:val="center"/>
          </w:tcPr>
          <w:p w14:paraId="0807C1F5" w14:textId="77777777" w:rsidR="00593BC6" w:rsidRPr="00F15DA3" w:rsidRDefault="00593BC6" w:rsidP="007D4CCA">
            <w:pPr>
              <w:rPr>
                <w:b/>
                <w:sz w:val="22"/>
                <w:szCs w:val="22"/>
              </w:rPr>
            </w:pPr>
            <w:r w:rsidRPr="00F15DA3">
              <w:rPr>
                <w:b/>
                <w:sz w:val="22"/>
                <w:szCs w:val="22"/>
              </w:rPr>
              <w:t>(if applicable):</w:t>
            </w:r>
          </w:p>
        </w:tc>
        <w:tc>
          <w:tcPr>
            <w:tcW w:w="3793" w:type="pct"/>
            <w:vAlign w:val="center"/>
          </w:tcPr>
          <w:p w14:paraId="2CA88BC1" w14:textId="77777777" w:rsidR="00593BC6" w:rsidRPr="00F15DA3" w:rsidRDefault="00593BC6" w:rsidP="007D4CCA">
            <w:pPr>
              <w:rPr>
                <w:sz w:val="22"/>
                <w:szCs w:val="22"/>
              </w:rPr>
            </w:pPr>
          </w:p>
        </w:tc>
      </w:tr>
      <w:tr w:rsidR="00593BC6" w:rsidRPr="00F15DA3" w14:paraId="131D5B27" w14:textId="77777777" w:rsidTr="009A0FD7">
        <w:trPr>
          <w:cantSplit/>
          <w:trHeight w:val="270"/>
          <w:jc w:val="center"/>
        </w:trPr>
        <w:tc>
          <w:tcPr>
            <w:tcW w:w="1207" w:type="pct"/>
            <w:gridSpan w:val="2"/>
            <w:vAlign w:val="center"/>
          </w:tcPr>
          <w:p w14:paraId="5B9F4F37" w14:textId="77777777" w:rsidR="00593BC6" w:rsidRPr="00F15DA3" w:rsidRDefault="00593BC6" w:rsidP="007D4CCA">
            <w:pPr>
              <w:rPr>
                <w:b/>
                <w:sz w:val="22"/>
                <w:szCs w:val="22"/>
              </w:rPr>
            </w:pPr>
          </w:p>
        </w:tc>
        <w:tc>
          <w:tcPr>
            <w:tcW w:w="3793" w:type="pct"/>
            <w:vAlign w:val="center"/>
          </w:tcPr>
          <w:p w14:paraId="09AED490" w14:textId="77777777" w:rsidR="00593BC6" w:rsidRPr="00F15DA3" w:rsidRDefault="00593BC6" w:rsidP="007D4CCA">
            <w:pPr>
              <w:rPr>
                <w:sz w:val="22"/>
                <w:szCs w:val="22"/>
              </w:rPr>
            </w:pPr>
          </w:p>
        </w:tc>
      </w:tr>
      <w:tr w:rsidR="00593BC6" w:rsidRPr="00F15DA3" w14:paraId="2C8FC01D" w14:textId="77777777" w:rsidTr="009A0FD7">
        <w:trPr>
          <w:cantSplit/>
          <w:trHeight w:val="270"/>
          <w:jc w:val="center"/>
        </w:trPr>
        <w:tc>
          <w:tcPr>
            <w:tcW w:w="1207" w:type="pct"/>
            <w:gridSpan w:val="2"/>
            <w:vAlign w:val="center"/>
          </w:tcPr>
          <w:p w14:paraId="683E9B8A" w14:textId="77777777" w:rsidR="00593BC6" w:rsidRPr="00F15DA3" w:rsidRDefault="00593BC6" w:rsidP="007D4CCA">
            <w:pPr>
              <w:rPr>
                <w:b/>
                <w:sz w:val="22"/>
                <w:szCs w:val="22"/>
              </w:rPr>
            </w:pPr>
            <w:r w:rsidRPr="00F15DA3">
              <w:rPr>
                <w:b/>
                <w:sz w:val="22"/>
                <w:szCs w:val="22"/>
              </w:rPr>
              <w:t>Organization:</w:t>
            </w:r>
          </w:p>
        </w:tc>
        <w:tc>
          <w:tcPr>
            <w:tcW w:w="3793" w:type="pct"/>
            <w:vAlign w:val="center"/>
          </w:tcPr>
          <w:p w14:paraId="5BAB0026" w14:textId="77777777" w:rsidR="007C7273" w:rsidRDefault="00B11BBF" w:rsidP="007D4CCA">
            <w:pPr>
              <w:rPr>
                <w:rFonts w:eastAsia="맑은 고딕"/>
                <w:sz w:val="22"/>
                <w:szCs w:val="22"/>
              </w:rPr>
            </w:pPr>
            <w:r>
              <w:rPr>
                <w:sz w:val="22"/>
                <w:szCs w:val="22"/>
              </w:rPr>
              <w:t>Korea B</w:t>
            </w:r>
            <w:r w:rsidR="007C7273">
              <w:rPr>
                <w:sz w:val="22"/>
                <w:szCs w:val="22"/>
              </w:rPr>
              <w:t>iosafety Clearing House (KBCH)</w:t>
            </w:r>
          </w:p>
          <w:p w14:paraId="2B040BDC" w14:textId="6CD25245" w:rsidR="00DA7A0F" w:rsidRDefault="00F15DA3" w:rsidP="007D4CCA">
            <w:pPr>
              <w:rPr>
                <w:sz w:val="22"/>
                <w:szCs w:val="22"/>
              </w:rPr>
            </w:pPr>
            <w:r w:rsidRPr="00F15DA3">
              <w:rPr>
                <w:sz w:val="22"/>
                <w:szCs w:val="22"/>
              </w:rPr>
              <w:t>Korea Research Institute of Bioscience and Biotechnology</w:t>
            </w:r>
            <w:r w:rsidR="00DA7A0F">
              <w:rPr>
                <w:sz w:val="22"/>
                <w:szCs w:val="22"/>
              </w:rPr>
              <w:t xml:space="preserve"> (KRIBB)</w:t>
            </w:r>
            <w:r w:rsidR="00B11BBF">
              <w:rPr>
                <w:sz w:val="22"/>
                <w:szCs w:val="22"/>
              </w:rPr>
              <w:t xml:space="preserve"> </w:t>
            </w:r>
          </w:p>
          <w:p w14:paraId="44E1FC10" w14:textId="123F8CAA" w:rsidR="00593BC6" w:rsidRPr="00DA7A0F" w:rsidRDefault="00DA7A0F" w:rsidP="007D4CCA">
            <w:pPr>
              <w:rPr>
                <w:sz w:val="22"/>
                <w:szCs w:val="22"/>
              </w:rPr>
            </w:pPr>
            <w:r>
              <w:rPr>
                <w:sz w:val="22"/>
                <w:szCs w:val="22"/>
              </w:rPr>
              <w:t xml:space="preserve">Korea Advanced Institute of Science and Technology </w:t>
            </w:r>
            <w:r w:rsidRPr="00DA7A0F">
              <w:rPr>
                <w:sz w:val="22"/>
                <w:szCs w:val="22"/>
              </w:rPr>
              <w:t>(</w:t>
            </w:r>
            <w:r w:rsidRPr="00DA7A0F">
              <w:rPr>
                <w:rFonts w:eastAsia="맑은 고딕"/>
                <w:sz w:val="22"/>
                <w:szCs w:val="22"/>
              </w:rPr>
              <w:t>KAIST)</w:t>
            </w:r>
          </w:p>
        </w:tc>
      </w:tr>
      <w:tr w:rsidR="00593BC6" w:rsidRPr="00F15DA3" w14:paraId="3ED36EA3" w14:textId="77777777" w:rsidTr="009A0FD7">
        <w:trPr>
          <w:cantSplit/>
          <w:trHeight w:val="233"/>
          <w:jc w:val="center"/>
        </w:trPr>
        <w:tc>
          <w:tcPr>
            <w:tcW w:w="1207" w:type="pct"/>
            <w:gridSpan w:val="2"/>
            <w:vAlign w:val="center"/>
          </w:tcPr>
          <w:p w14:paraId="21C9EB42" w14:textId="77777777" w:rsidR="00593BC6" w:rsidRPr="00F15DA3" w:rsidRDefault="00593BC6" w:rsidP="007D4CCA">
            <w:pPr>
              <w:rPr>
                <w:b/>
                <w:sz w:val="22"/>
                <w:szCs w:val="22"/>
              </w:rPr>
            </w:pPr>
          </w:p>
        </w:tc>
        <w:tc>
          <w:tcPr>
            <w:tcW w:w="3793" w:type="pct"/>
            <w:vAlign w:val="center"/>
          </w:tcPr>
          <w:p w14:paraId="5A530AD5" w14:textId="77777777" w:rsidR="00593BC6" w:rsidRPr="00F15DA3" w:rsidRDefault="00593BC6" w:rsidP="007D4CCA">
            <w:pPr>
              <w:rPr>
                <w:sz w:val="22"/>
                <w:szCs w:val="22"/>
              </w:rPr>
            </w:pPr>
          </w:p>
        </w:tc>
      </w:tr>
      <w:tr w:rsidR="00593BC6" w:rsidRPr="00F15DA3" w14:paraId="329D03C5" w14:textId="77777777" w:rsidTr="009A0FD7">
        <w:trPr>
          <w:cantSplit/>
          <w:trHeight w:val="233"/>
          <w:jc w:val="center"/>
        </w:trPr>
        <w:tc>
          <w:tcPr>
            <w:tcW w:w="1207" w:type="pct"/>
            <w:gridSpan w:val="2"/>
            <w:vAlign w:val="center"/>
          </w:tcPr>
          <w:p w14:paraId="50483436" w14:textId="77777777" w:rsidR="00593BC6" w:rsidRPr="00F15DA3" w:rsidRDefault="00593BC6" w:rsidP="007D4CCA">
            <w:pPr>
              <w:rPr>
                <w:b/>
                <w:sz w:val="22"/>
                <w:szCs w:val="22"/>
              </w:rPr>
            </w:pPr>
            <w:r w:rsidRPr="00F15DA3">
              <w:rPr>
                <w:b/>
                <w:sz w:val="22"/>
                <w:szCs w:val="22"/>
              </w:rPr>
              <w:t>E-mail:</w:t>
            </w:r>
          </w:p>
        </w:tc>
        <w:tc>
          <w:tcPr>
            <w:tcW w:w="3793" w:type="pct"/>
            <w:vAlign w:val="center"/>
          </w:tcPr>
          <w:p w14:paraId="7D07E304" w14:textId="7B77DC37" w:rsidR="00593BC6" w:rsidRPr="00F15DA3" w:rsidRDefault="00D8540A" w:rsidP="007D4CCA">
            <w:pPr>
              <w:rPr>
                <w:rFonts w:eastAsia="바탕"/>
                <w:sz w:val="22"/>
                <w:szCs w:val="22"/>
                <w:lang w:val="en-US"/>
              </w:rPr>
            </w:pPr>
            <w:r>
              <w:rPr>
                <w:rFonts w:eastAsia="바탕" w:hint="eastAsia"/>
                <w:sz w:val="22"/>
                <w:szCs w:val="22"/>
                <w:lang w:val="en-US"/>
              </w:rPr>
              <w:t>kbch@kribb.re.kr</w:t>
            </w:r>
          </w:p>
        </w:tc>
      </w:tr>
      <w:tr w:rsidR="00593BC6" w:rsidRPr="00F15DA3" w14:paraId="59BA55E5" w14:textId="77777777" w:rsidTr="009A0FD7">
        <w:trPr>
          <w:cantSplit/>
          <w:trHeight w:val="233"/>
          <w:jc w:val="center"/>
        </w:trPr>
        <w:tc>
          <w:tcPr>
            <w:tcW w:w="1207" w:type="pct"/>
            <w:gridSpan w:val="2"/>
            <w:vAlign w:val="center"/>
          </w:tcPr>
          <w:p w14:paraId="4CA66506" w14:textId="77777777" w:rsidR="00593BC6" w:rsidRPr="00F15DA3" w:rsidRDefault="00593BC6" w:rsidP="007D4CCA">
            <w:pPr>
              <w:rPr>
                <w:b/>
                <w:sz w:val="22"/>
                <w:szCs w:val="22"/>
              </w:rPr>
            </w:pPr>
          </w:p>
        </w:tc>
        <w:tc>
          <w:tcPr>
            <w:tcW w:w="3793" w:type="pct"/>
            <w:vAlign w:val="center"/>
          </w:tcPr>
          <w:p w14:paraId="267E6375" w14:textId="77777777" w:rsidR="00593BC6" w:rsidRPr="00F15DA3" w:rsidRDefault="00593BC6" w:rsidP="007D4CCA">
            <w:pPr>
              <w:rPr>
                <w:sz w:val="22"/>
                <w:szCs w:val="22"/>
              </w:rPr>
            </w:pPr>
          </w:p>
        </w:tc>
      </w:tr>
      <w:tr w:rsidR="00593BC6" w:rsidRPr="00F15DA3" w14:paraId="333DFC97" w14:textId="77777777" w:rsidTr="007D4CCA">
        <w:trPr>
          <w:cantSplit/>
          <w:trHeight w:val="233"/>
          <w:jc w:val="center"/>
        </w:trPr>
        <w:tc>
          <w:tcPr>
            <w:tcW w:w="5000" w:type="pct"/>
            <w:gridSpan w:val="3"/>
            <w:shd w:val="clear" w:color="auto" w:fill="BFBFBF"/>
            <w:vAlign w:val="center"/>
          </w:tcPr>
          <w:p w14:paraId="21278E85" w14:textId="77777777" w:rsidR="00593BC6" w:rsidRPr="00F15DA3" w:rsidRDefault="00593BC6" w:rsidP="007D4CCA">
            <w:pPr>
              <w:rPr>
                <w:b/>
                <w:sz w:val="22"/>
                <w:szCs w:val="22"/>
              </w:rPr>
            </w:pPr>
          </w:p>
          <w:p w14:paraId="05933792" w14:textId="14B8E253" w:rsidR="00593BC6" w:rsidRPr="00F15DA3" w:rsidRDefault="00593BC6" w:rsidP="007D4CCA">
            <w:pPr>
              <w:rPr>
                <w:b/>
                <w:sz w:val="22"/>
                <w:szCs w:val="22"/>
              </w:rPr>
            </w:pPr>
            <w:r w:rsidRPr="00F15DA3">
              <w:rPr>
                <w:b/>
                <w:sz w:val="22"/>
                <w:szCs w:val="22"/>
              </w:rPr>
              <w:t>Comments on th</w:t>
            </w:r>
            <w:r w:rsidR="00363EF2" w:rsidRPr="00F15DA3">
              <w:rPr>
                <w:b/>
                <w:sz w:val="22"/>
                <w:szCs w:val="22"/>
              </w:rPr>
              <w:t>e Technical Series on Synthetic Biology</w:t>
            </w:r>
          </w:p>
          <w:p w14:paraId="7BC798CD" w14:textId="77777777" w:rsidR="00593BC6" w:rsidRPr="00F15DA3" w:rsidRDefault="00593BC6" w:rsidP="007D4CCA">
            <w:pPr>
              <w:rPr>
                <w:b/>
                <w:sz w:val="22"/>
                <w:szCs w:val="22"/>
              </w:rPr>
            </w:pPr>
          </w:p>
        </w:tc>
      </w:tr>
      <w:tr w:rsidR="00593BC6" w:rsidRPr="00F15DA3" w14:paraId="2A5F8AC1" w14:textId="77777777" w:rsidTr="009A0FD7">
        <w:trPr>
          <w:cantSplit/>
          <w:trHeight w:val="233"/>
          <w:jc w:val="center"/>
        </w:trPr>
        <w:tc>
          <w:tcPr>
            <w:tcW w:w="655" w:type="pct"/>
            <w:vAlign w:val="center"/>
          </w:tcPr>
          <w:p w14:paraId="6C0FFA1B" w14:textId="77777777" w:rsidR="00593BC6" w:rsidRPr="00F15DA3" w:rsidRDefault="00593BC6" w:rsidP="007D4CCA">
            <w:pPr>
              <w:rPr>
                <w:b/>
                <w:sz w:val="22"/>
                <w:szCs w:val="22"/>
              </w:rPr>
            </w:pPr>
            <w:r w:rsidRPr="00F15DA3">
              <w:rPr>
                <w:b/>
                <w:sz w:val="22"/>
                <w:szCs w:val="22"/>
              </w:rPr>
              <w:t>Page</w:t>
            </w:r>
            <w:r w:rsidR="00F94D0C" w:rsidRPr="00F15DA3">
              <w:rPr>
                <w:b/>
                <w:sz w:val="22"/>
                <w:szCs w:val="22"/>
              </w:rPr>
              <w:t xml:space="preserve"> #</w:t>
            </w:r>
          </w:p>
        </w:tc>
        <w:tc>
          <w:tcPr>
            <w:tcW w:w="552" w:type="pct"/>
            <w:vAlign w:val="center"/>
          </w:tcPr>
          <w:p w14:paraId="3BFAC210" w14:textId="77777777" w:rsidR="00593BC6" w:rsidRPr="00F15DA3" w:rsidRDefault="005411E6" w:rsidP="007D4CCA">
            <w:pPr>
              <w:rPr>
                <w:b/>
                <w:sz w:val="22"/>
                <w:szCs w:val="22"/>
              </w:rPr>
            </w:pPr>
            <w:r w:rsidRPr="00F15DA3">
              <w:rPr>
                <w:b/>
                <w:sz w:val="22"/>
                <w:szCs w:val="22"/>
              </w:rPr>
              <w:t xml:space="preserve">Line </w:t>
            </w:r>
            <w:r w:rsidR="00135D96" w:rsidRPr="00F15DA3">
              <w:rPr>
                <w:b/>
                <w:sz w:val="22"/>
                <w:szCs w:val="22"/>
              </w:rPr>
              <w:t>#</w:t>
            </w:r>
          </w:p>
        </w:tc>
        <w:tc>
          <w:tcPr>
            <w:tcW w:w="3793" w:type="pct"/>
            <w:vAlign w:val="center"/>
          </w:tcPr>
          <w:p w14:paraId="1DF3BB27" w14:textId="77777777" w:rsidR="00593BC6" w:rsidRPr="00F15DA3" w:rsidRDefault="00593BC6" w:rsidP="007D4CCA">
            <w:pPr>
              <w:rPr>
                <w:b/>
                <w:sz w:val="22"/>
                <w:szCs w:val="22"/>
              </w:rPr>
            </w:pPr>
            <w:r w:rsidRPr="00F15DA3">
              <w:rPr>
                <w:b/>
                <w:sz w:val="22"/>
                <w:szCs w:val="22"/>
              </w:rPr>
              <w:t>Comment</w:t>
            </w:r>
          </w:p>
        </w:tc>
      </w:tr>
      <w:tr w:rsidR="00F15DA3" w:rsidRPr="00F15DA3" w14:paraId="52D4B2D0" w14:textId="77777777" w:rsidTr="009A0FD7">
        <w:trPr>
          <w:cantSplit/>
          <w:trHeight w:val="233"/>
          <w:jc w:val="center"/>
        </w:trPr>
        <w:tc>
          <w:tcPr>
            <w:tcW w:w="1207" w:type="pct"/>
            <w:gridSpan w:val="2"/>
            <w:vAlign w:val="center"/>
          </w:tcPr>
          <w:p w14:paraId="6F9597EA" w14:textId="32245675" w:rsidR="00F15DA3" w:rsidRPr="00F15DA3" w:rsidRDefault="00F15DA3" w:rsidP="007D4CCA">
            <w:pPr>
              <w:rPr>
                <w:sz w:val="22"/>
                <w:szCs w:val="22"/>
              </w:rPr>
            </w:pPr>
            <w:r>
              <w:rPr>
                <w:sz w:val="22"/>
                <w:szCs w:val="22"/>
              </w:rPr>
              <w:t>General comments</w:t>
            </w:r>
          </w:p>
        </w:tc>
        <w:tc>
          <w:tcPr>
            <w:tcW w:w="3793" w:type="pct"/>
            <w:vAlign w:val="center"/>
          </w:tcPr>
          <w:p w14:paraId="1DC58471" w14:textId="525C99B0" w:rsidR="00274E4D" w:rsidRDefault="003B3B8D" w:rsidP="007D4CCA">
            <w:pPr>
              <w:rPr>
                <w:sz w:val="22"/>
                <w:szCs w:val="22"/>
              </w:rPr>
            </w:pPr>
            <w:r>
              <w:rPr>
                <w:sz w:val="22"/>
                <w:szCs w:val="22"/>
              </w:rPr>
              <w:t xml:space="preserve">As a scientist studying in the field of synthetic biology, I </w:t>
            </w:r>
            <w:r w:rsidR="00451151">
              <w:rPr>
                <w:sz w:val="22"/>
                <w:szCs w:val="22"/>
              </w:rPr>
              <w:t xml:space="preserve">was happy to </w:t>
            </w:r>
            <w:r>
              <w:rPr>
                <w:sz w:val="22"/>
                <w:szCs w:val="22"/>
              </w:rPr>
              <w:t xml:space="preserve">review this kind of technical series on synthetic biology. </w:t>
            </w:r>
          </w:p>
          <w:p w14:paraId="0C7BE80F" w14:textId="77777777" w:rsidR="00274E4D" w:rsidRDefault="00274E4D" w:rsidP="007D4CCA">
            <w:pPr>
              <w:rPr>
                <w:sz w:val="22"/>
                <w:szCs w:val="22"/>
              </w:rPr>
            </w:pPr>
          </w:p>
          <w:p w14:paraId="32488583" w14:textId="4835BF3C" w:rsidR="00F15DA3" w:rsidRDefault="003B3B8D" w:rsidP="007D4CCA">
            <w:pPr>
              <w:rPr>
                <w:sz w:val="22"/>
                <w:szCs w:val="22"/>
              </w:rPr>
            </w:pPr>
            <w:r>
              <w:rPr>
                <w:sz w:val="22"/>
                <w:szCs w:val="22"/>
              </w:rPr>
              <w:t xml:space="preserve">Most of all, I have concerns </w:t>
            </w:r>
            <w:r w:rsidR="00881F4C">
              <w:rPr>
                <w:sz w:val="22"/>
                <w:szCs w:val="22"/>
              </w:rPr>
              <w:t>about</w:t>
            </w:r>
            <w:r>
              <w:rPr>
                <w:sz w:val="22"/>
                <w:szCs w:val="22"/>
              </w:rPr>
              <w:t xml:space="preserve"> the definition and scope of synthetic biology</w:t>
            </w:r>
            <w:r w:rsidR="00274E4D">
              <w:rPr>
                <w:sz w:val="22"/>
                <w:szCs w:val="22"/>
              </w:rPr>
              <w:t xml:space="preserve"> (SB)</w:t>
            </w:r>
            <w:r>
              <w:rPr>
                <w:sz w:val="22"/>
                <w:szCs w:val="22"/>
              </w:rPr>
              <w:t xml:space="preserve"> in the current draft. I think CBD provided the broad definition </w:t>
            </w:r>
            <w:r w:rsidR="00451151">
              <w:rPr>
                <w:sz w:val="22"/>
                <w:szCs w:val="22"/>
              </w:rPr>
              <w:t xml:space="preserve">and scope </w:t>
            </w:r>
            <w:r>
              <w:rPr>
                <w:sz w:val="22"/>
                <w:szCs w:val="22"/>
              </w:rPr>
              <w:t xml:space="preserve">of </w:t>
            </w:r>
            <w:r w:rsidR="00274E4D">
              <w:rPr>
                <w:sz w:val="22"/>
                <w:szCs w:val="22"/>
              </w:rPr>
              <w:t>SB</w:t>
            </w:r>
            <w:r>
              <w:rPr>
                <w:sz w:val="22"/>
                <w:szCs w:val="22"/>
              </w:rPr>
              <w:t xml:space="preserve"> (page 8, lines 9-12), which </w:t>
            </w:r>
            <w:r w:rsidR="005F0F7F">
              <w:rPr>
                <w:sz w:val="22"/>
                <w:szCs w:val="22"/>
              </w:rPr>
              <w:t xml:space="preserve">makes the lack of certainty about whether </w:t>
            </w:r>
            <w:r w:rsidR="00274E4D">
              <w:rPr>
                <w:sz w:val="22"/>
                <w:szCs w:val="22"/>
              </w:rPr>
              <w:t>SB</w:t>
            </w:r>
            <w:r w:rsidR="005F0F7F">
              <w:rPr>
                <w:sz w:val="22"/>
                <w:szCs w:val="22"/>
              </w:rPr>
              <w:t xml:space="preserve"> is a single discipline or multi-disciplines</w:t>
            </w:r>
            <w:r w:rsidR="00451151">
              <w:rPr>
                <w:sz w:val="22"/>
                <w:szCs w:val="22"/>
              </w:rPr>
              <w:t xml:space="preserve">, how </w:t>
            </w:r>
            <w:r w:rsidR="00274E4D">
              <w:rPr>
                <w:sz w:val="22"/>
                <w:szCs w:val="22"/>
              </w:rPr>
              <w:t>SB</w:t>
            </w:r>
            <w:r w:rsidR="00451151">
              <w:rPr>
                <w:sz w:val="22"/>
                <w:szCs w:val="22"/>
              </w:rPr>
              <w:t xml:space="preserve"> impacts society</w:t>
            </w:r>
            <w:r w:rsidR="00881F4C">
              <w:rPr>
                <w:sz w:val="22"/>
                <w:szCs w:val="22"/>
              </w:rPr>
              <w:t>,</w:t>
            </w:r>
            <w:r w:rsidR="00451151">
              <w:rPr>
                <w:sz w:val="22"/>
                <w:szCs w:val="22"/>
              </w:rPr>
              <w:t xml:space="preserve"> and </w:t>
            </w:r>
            <w:r w:rsidR="00881F4C">
              <w:rPr>
                <w:sz w:val="22"/>
                <w:szCs w:val="22"/>
              </w:rPr>
              <w:t xml:space="preserve">the </w:t>
            </w:r>
            <w:r w:rsidR="00451151">
              <w:rPr>
                <w:sz w:val="22"/>
                <w:szCs w:val="22"/>
              </w:rPr>
              <w:t>environment</w:t>
            </w:r>
            <w:r w:rsidR="00881F4C">
              <w:rPr>
                <w:sz w:val="22"/>
                <w:szCs w:val="22"/>
              </w:rPr>
              <w:t xml:space="preserve">, and how market value and growth rate of </w:t>
            </w:r>
            <w:r w:rsidR="00274E4D">
              <w:rPr>
                <w:sz w:val="22"/>
                <w:szCs w:val="22"/>
              </w:rPr>
              <w:t>SB</w:t>
            </w:r>
            <w:r w:rsidR="00881F4C">
              <w:rPr>
                <w:sz w:val="22"/>
                <w:szCs w:val="22"/>
              </w:rPr>
              <w:t xml:space="preserve"> are estimated</w:t>
            </w:r>
            <w:r w:rsidR="005F0F7F">
              <w:rPr>
                <w:sz w:val="22"/>
                <w:szCs w:val="22"/>
              </w:rPr>
              <w:t xml:space="preserve">. </w:t>
            </w:r>
          </w:p>
          <w:p w14:paraId="063C816F" w14:textId="0A627502" w:rsidR="00274E4D" w:rsidRDefault="00274E4D" w:rsidP="007D4CCA">
            <w:pPr>
              <w:rPr>
                <w:sz w:val="22"/>
                <w:szCs w:val="22"/>
              </w:rPr>
            </w:pPr>
          </w:p>
          <w:p w14:paraId="7E2F9162" w14:textId="35F84F0A" w:rsidR="00274E4D" w:rsidRDefault="00274E4D" w:rsidP="007D4CCA">
            <w:pPr>
              <w:rPr>
                <w:sz w:val="22"/>
                <w:szCs w:val="22"/>
              </w:rPr>
            </w:pPr>
            <w:r>
              <w:rPr>
                <w:sz w:val="22"/>
                <w:szCs w:val="22"/>
              </w:rPr>
              <w:t xml:space="preserve">SB should be distinguished from conventional genetic engineering that </w:t>
            </w:r>
            <w:r w:rsidR="000E4FF8">
              <w:rPr>
                <w:sz w:val="22"/>
                <w:szCs w:val="22"/>
              </w:rPr>
              <w:t>has</w:t>
            </w:r>
            <w:r>
              <w:rPr>
                <w:sz w:val="22"/>
                <w:szCs w:val="22"/>
              </w:rPr>
              <w:t xml:space="preserve"> been generating classical GMOs because SB </w:t>
            </w:r>
            <w:r w:rsidR="000E4FF8">
              <w:rPr>
                <w:sz w:val="22"/>
                <w:szCs w:val="22"/>
              </w:rPr>
              <w:t>contributes to overcoming the limitations of GMOs</w:t>
            </w:r>
            <w:r>
              <w:rPr>
                <w:sz w:val="22"/>
                <w:szCs w:val="22"/>
              </w:rPr>
              <w:t>.</w:t>
            </w:r>
            <w:r w:rsidR="000E4FF8">
              <w:rPr>
                <w:sz w:val="22"/>
                <w:szCs w:val="22"/>
              </w:rPr>
              <w:t xml:space="preserve"> SB has been creating</w:t>
            </w:r>
            <w:r w:rsidR="000E4FF8">
              <w:rPr>
                <w:sz w:val="22"/>
                <w:szCs w:val="22"/>
                <w:lang w:val="en-US"/>
              </w:rPr>
              <w:t xml:space="preserve"> many</w:t>
            </w:r>
            <w:r w:rsidR="000E4FF8">
              <w:rPr>
                <w:sz w:val="22"/>
                <w:szCs w:val="22"/>
              </w:rPr>
              <w:t xml:space="preserve"> tools and approaches for innovating conventional genetic engineering, for example, SB has been developing reliable biocontainment methods. Unfortunately, the draft implies that organisms created by SB would have a higher risk than non-GMO or classical GMOs. </w:t>
            </w:r>
          </w:p>
          <w:p w14:paraId="11FD0EDF" w14:textId="34304B7E" w:rsidR="00BE73E2" w:rsidRDefault="00BE73E2" w:rsidP="007D4CCA">
            <w:pPr>
              <w:rPr>
                <w:sz w:val="22"/>
                <w:szCs w:val="22"/>
              </w:rPr>
            </w:pPr>
          </w:p>
          <w:p w14:paraId="58F1E46B" w14:textId="38F778EE" w:rsidR="009A0FD7" w:rsidRPr="009A0FD7" w:rsidRDefault="00BE73E2" w:rsidP="00D81433">
            <w:pPr>
              <w:rPr>
                <w:rFonts w:eastAsia="맑은 고딕"/>
                <w:sz w:val="22"/>
                <w:szCs w:val="22"/>
              </w:rPr>
            </w:pPr>
            <w:r>
              <w:rPr>
                <w:sz w:val="22"/>
                <w:szCs w:val="22"/>
              </w:rPr>
              <w:t xml:space="preserve">Overall, a clear definition and scope of SB should be provided in the revised draft. Based on a clear definition of SB, different subjects and methods under the umbrella of SB in the current draft should be </w:t>
            </w:r>
            <w:r w:rsidR="00CA7386">
              <w:rPr>
                <w:sz w:val="22"/>
                <w:szCs w:val="22"/>
              </w:rPr>
              <w:t>reorganized by removing and adding them.</w:t>
            </w:r>
          </w:p>
        </w:tc>
      </w:tr>
      <w:tr w:rsidR="007261C7" w:rsidRPr="00F15DA3" w14:paraId="381BB552" w14:textId="77777777" w:rsidTr="009A0FD7">
        <w:trPr>
          <w:cantSplit/>
          <w:trHeight w:val="233"/>
          <w:jc w:val="center"/>
        </w:trPr>
        <w:tc>
          <w:tcPr>
            <w:tcW w:w="655" w:type="pct"/>
            <w:vAlign w:val="center"/>
          </w:tcPr>
          <w:p w14:paraId="2CD1E3C0" w14:textId="20C612A4" w:rsidR="007261C7" w:rsidRDefault="007261C7" w:rsidP="007D4CCA">
            <w:pPr>
              <w:contextualSpacing/>
              <w:rPr>
                <w:sz w:val="22"/>
                <w:szCs w:val="22"/>
              </w:rPr>
            </w:pPr>
            <w:r>
              <w:rPr>
                <w:sz w:val="22"/>
                <w:szCs w:val="22"/>
                <w:lang w:val="en-US"/>
              </w:rPr>
              <w:t>8</w:t>
            </w:r>
          </w:p>
        </w:tc>
        <w:tc>
          <w:tcPr>
            <w:tcW w:w="552" w:type="pct"/>
            <w:vAlign w:val="center"/>
          </w:tcPr>
          <w:p w14:paraId="0B1B11DF" w14:textId="69C5D420" w:rsidR="007261C7" w:rsidRDefault="007261C7" w:rsidP="007D4CCA">
            <w:pPr>
              <w:contextualSpacing/>
              <w:rPr>
                <w:sz w:val="22"/>
                <w:szCs w:val="22"/>
              </w:rPr>
            </w:pPr>
            <w:r>
              <w:rPr>
                <w:sz w:val="22"/>
                <w:szCs w:val="22"/>
                <w:lang w:val="en-US"/>
              </w:rPr>
              <w:t>1-48</w:t>
            </w:r>
          </w:p>
        </w:tc>
        <w:tc>
          <w:tcPr>
            <w:tcW w:w="3793" w:type="pct"/>
            <w:vAlign w:val="center"/>
          </w:tcPr>
          <w:p w14:paraId="288958AD" w14:textId="6567B274" w:rsidR="007261C7" w:rsidRPr="00CA7386" w:rsidRDefault="007261C7" w:rsidP="007D4CCA">
            <w:pPr>
              <w:contextualSpacing/>
              <w:rPr>
                <w:sz w:val="22"/>
                <w:szCs w:val="22"/>
              </w:rPr>
            </w:pPr>
            <w:r>
              <w:rPr>
                <w:sz w:val="22"/>
                <w:szCs w:val="22"/>
                <w:lang w:val="en-US"/>
              </w:rPr>
              <w:t>Should mention the benefits of synthetic biology for diversity</w:t>
            </w:r>
          </w:p>
        </w:tc>
      </w:tr>
      <w:tr w:rsidR="007261C7" w:rsidRPr="00F15DA3" w14:paraId="21976ED6" w14:textId="77777777" w:rsidTr="009A0FD7">
        <w:trPr>
          <w:cantSplit/>
          <w:trHeight w:val="233"/>
          <w:jc w:val="center"/>
        </w:trPr>
        <w:tc>
          <w:tcPr>
            <w:tcW w:w="655" w:type="pct"/>
            <w:vAlign w:val="center"/>
          </w:tcPr>
          <w:p w14:paraId="017EEA41" w14:textId="5635FC62" w:rsidR="007261C7" w:rsidRDefault="007261C7" w:rsidP="007D4CCA">
            <w:pPr>
              <w:contextualSpacing/>
              <w:rPr>
                <w:sz w:val="22"/>
                <w:szCs w:val="22"/>
              </w:rPr>
            </w:pPr>
            <w:r>
              <w:rPr>
                <w:sz w:val="22"/>
                <w:szCs w:val="22"/>
                <w:lang w:val="en-US"/>
              </w:rPr>
              <w:t>9</w:t>
            </w:r>
          </w:p>
        </w:tc>
        <w:tc>
          <w:tcPr>
            <w:tcW w:w="552" w:type="pct"/>
            <w:vAlign w:val="center"/>
          </w:tcPr>
          <w:p w14:paraId="7CED5D9E" w14:textId="7020192F" w:rsidR="007261C7" w:rsidRDefault="007261C7" w:rsidP="007D4CCA">
            <w:pPr>
              <w:contextualSpacing/>
              <w:rPr>
                <w:sz w:val="22"/>
                <w:szCs w:val="22"/>
              </w:rPr>
            </w:pPr>
            <w:r>
              <w:rPr>
                <w:sz w:val="22"/>
                <w:szCs w:val="22"/>
                <w:lang w:val="en-US"/>
              </w:rPr>
              <w:t>34-49</w:t>
            </w:r>
          </w:p>
        </w:tc>
        <w:tc>
          <w:tcPr>
            <w:tcW w:w="3793" w:type="pct"/>
            <w:vAlign w:val="center"/>
          </w:tcPr>
          <w:p w14:paraId="392D8015" w14:textId="357D1A78" w:rsidR="007261C7" w:rsidRPr="00CA7386" w:rsidRDefault="007261C7" w:rsidP="007D4CCA">
            <w:pPr>
              <w:contextualSpacing/>
              <w:rPr>
                <w:sz w:val="22"/>
                <w:szCs w:val="22"/>
              </w:rPr>
            </w:pPr>
            <w:r>
              <w:rPr>
                <w:sz w:val="22"/>
                <w:szCs w:val="22"/>
                <w:lang w:val="en-US"/>
              </w:rPr>
              <w:t>An insufficient balance between risk and benefit of synthetic biology</w:t>
            </w:r>
          </w:p>
        </w:tc>
      </w:tr>
      <w:tr w:rsidR="007261C7" w:rsidRPr="00F15DA3" w14:paraId="3E94F419" w14:textId="77777777" w:rsidTr="009A0FD7">
        <w:trPr>
          <w:cantSplit/>
          <w:trHeight w:val="233"/>
          <w:jc w:val="center"/>
        </w:trPr>
        <w:tc>
          <w:tcPr>
            <w:tcW w:w="655" w:type="pct"/>
            <w:vAlign w:val="center"/>
          </w:tcPr>
          <w:p w14:paraId="44DCBC84" w14:textId="2417624F" w:rsidR="007261C7" w:rsidRPr="00F15DA3" w:rsidRDefault="007261C7" w:rsidP="007D4CCA">
            <w:pPr>
              <w:contextualSpacing/>
              <w:rPr>
                <w:sz w:val="22"/>
                <w:szCs w:val="22"/>
              </w:rPr>
            </w:pPr>
            <w:r>
              <w:rPr>
                <w:sz w:val="22"/>
                <w:szCs w:val="22"/>
              </w:rPr>
              <w:t>33</w:t>
            </w:r>
          </w:p>
        </w:tc>
        <w:tc>
          <w:tcPr>
            <w:tcW w:w="552" w:type="pct"/>
            <w:vAlign w:val="center"/>
          </w:tcPr>
          <w:p w14:paraId="6338DD75" w14:textId="52969CD5" w:rsidR="007261C7" w:rsidRPr="00F15DA3" w:rsidRDefault="007261C7" w:rsidP="007D4CCA">
            <w:pPr>
              <w:contextualSpacing/>
              <w:rPr>
                <w:sz w:val="22"/>
                <w:szCs w:val="22"/>
              </w:rPr>
            </w:pPr>
            <w:r>
              <w:rPr>
                <w:sz w:val="22"/>
                <w:szCs w:val="22"/>
              </w:rPr>
              <w:t>10</w:t>
            </w:r>
          </w:p>
        </w:tc>
        <w:tc>
          <w:tcPr>
            <w:tcW w:w="3793" w:type="pct"/>
            <w:vAlign w:val="center"/>
          </w:tcPr>
          <w:p w14:paraId="1794B29D" w14:textId="341D031E" w:rsidR="007261C7" w:rsidRPr="00F15DA3" w:rsidRDefault="007261C7" w:rsidP="007D4CCA">
            <w:pPr>
              <w:contextualSpacing/>
              <w:rPr>
                <w:sz w:val="22"/>
                <w:szCs w:val="22"/>
              </w:rPr>
            </w:pPr>
            <w:r w:rsidRPr="00CA7386">
              <w:rPr>
                <w:rFonts w:hint="eastAsia"/>
                <w:sz w:val="22"/>
                <w:szCs w:val="22"/>
              </w:rPr>
              <w:t>Geddes et al. ( 2019)recently</w:t>
            </w:r>
            <w:r w:rsidRPr="00CA7386">
              <w:rPr>
                <w:sz w:val="22"/>
                <w:szCs w:val="22"/>
              </w:rPr>
              <w:t xml:space="preserve"> </w:t>
            </w:r>
            <w:bookmarkStart w:id="1" w:name="OLE_LINK1"/>
            <w:bookmarkStart w:id="2" w:name="OLE_LINK2"/>
            <w:r w:rsidRPr="00CA7386">
              <w:rPr>
                <w:sz w:val="22"/>
                <w:szCs w:val="22"/>
              </w:rPr>
              <w:t>→</w:t>
            </w:r>
            <w:bookmarkEnd w:id="1"/>
            <w:bookmarkEnd w:id="2"/>
            <w:r w:rsidRPr="00CA7386">
              <w:rPr>
                <w:sz w:val="22"/>
                <w:szCs w:val="22"/>
              </w:rPr>
              <w:t xml:space="preserve"> </w:t>
            </w:r>
            <w:r w:rsidRPr="00CA7386">
              <w:rPr>
                <w:rFonts w:hint="eastAsia"/>
                <w:sz w:val="22"/>
                <w:szCs w:val="22"/>
              </w:rPr>
              <w:t>Geddes et al. (2019) recently</w:t>
            </w:r>
          </w:p>
        </w:tc>
      </w:tr>
      <w:tr w:rsidR="007261C7" w:rsidRPr="00F15DA3" w14:paraId="1C656F45" w14:textId="77777777" w:rsidTr="009A0FD7">
        <w:trPr>
          <w:cantSplit/>
          <w:trHeight w:val="233"/>
          <w:jc w:val="center"/>
        </w:trPr>
        <w:tc>
          <w:tcPr>
            <w:tcW w:w="655" w:type="pct"/>
            <w:vAlign w:val="center"/>
          </w:tcPr>
          <w:p w14:paraId="73652C5C" w14:textId="44B1F8AA" w:rsidR="007261C7" w:rsidRPr="00F15DA3" w:rsidRDefault="007261C7" w:rsidP="007D4CCA">
            <w:pPr>
              <w:contextualSpacing/>
              <w:rPr>
                <w:sz w:val="22"/>
                <w:szCs w:val="22"/>
              </w:rPr>
            </w:pPr>
            <w:r>
              <w:rPr>
                <w:sz w:val="22"/>
                <w:szCs w:val="22"/>
              </w:rPr>
              <w:t>35</w:t>
            </w:r>
          </w:p>
        </w:tc>
        <w:tc>
          <w:tcPr>
            <w:tcW w:w="552" w:type="pct"/>
            <w:vAlign w:val="center"/>
          </w:tcPr>
          <w:p w14:paraId="0B63B7FE" w14:textId="01C01A95" w:rsidR="007261C7" w:rsidRPr="00F15DA3" w:rsidRDefault="007261C7" w:rsidP="007D4CCA">
            <w:pPr>
              <w:contextualSpacing/>
              <w:rPr>
                <w:sz w:val="22"/>
                <w:szCs w:val="22"/>
              </w:rPr>
            </w:pPr>
            <w:r>
              <w:rPr>
                <w:sz w:val="22"/>
                <w:szCs w:val="22"/>
              </w:rPr>
              <w:t>27</w:t>
            </w:r>
          </w:p>
        </w:tc>
        <w:tc>
          <w:tcPr>
            <w:tcW w:w="3793" w:type="pct"/>
            <w:vAlign w:val="center"/>
          </w:tcPr>
          <w:p w14:paraId="0B96346A" w14:textId="580D5E81" w:rsidR="007261C7" w:rsidRPr="00CA7386" w:rsidRDefault="007261C7" w:rsidP="007D4CCA">
            <w:pPr>
              <w:contextualSpacing/>
              <w:rPr>
                <w:sz w:val="22"/>
                <w:szCs w:val="22"/>
              </w:rPr>
            </w:pPr>
            <w:r w:rsidRPr="00CA7386">
              <w:rPr>
                <w:rFonts w:hint="eastAsia"/>
                <w:sz w:val="22"/>
                <w:szCs w:val="22"/>
              </w:rPr>
              <w:t>Greenhouse and waste gas (CO</w:t>
            </w:r>
            <w:r w:rsidRPr="0095581D">
              <w:rPr>
                <w:rFonts w:hint="eastAsia"/>
                <w:sz w:val="22"/>
                <w:szCs w:val="22"/>
                <w:vertAlign w:val="subscript"/>
              </w:rPr>
              <w:t>2</w:t>
            </w:r>
            <w:r w:rsidRPr="00CA7386">
              <w:rPr>
                <w:rFonts w:hint="eastAsia"/>
                <w:sz w:val="22"/>
                <w:szCs w:val="22"/>
              </w:rPr>
              <w:t>, CO, CH</w:t>
            </w:r>
            <w:r w:rsidRPr="0095581D">
              <w:rPr>
                <w:rFonts w:hint="eastAsia"/>
                <w:sz w:val="22"/>
                <w:szCs w:val="22"/>
                <w:vertAlign w:val="subscript"/>
              </w:rPr>
              <w:t>3</w:t>
            </w:r>
            <w:r w:rsidRPr="00CA7386">
              <w:rPr>
                <w:rFonts w:hint="eastAsia"/>
                <w:sz w:val="22"/>
                <w:szCs w:val="22"/>
              </w:rPr>
              <w:t>)</w:t>
            </w:r>
            <w:r w:rsidRPr="00CA7386">
              <w:rPr>
                <w:sz w:val="22"/>
                <w:szCs w:val="22"/>
              </w:rPr>
              <w:t xml:space="preserve"> → </w:t>
            </w:r>
            <w:r w:rsidRPr="00CA7386">
              <w:rPr>
                <w:rFonts w:hint="eastAsia"/>
                <w:sz w:val="22"/>
                <w:szCs w:val="22"/>
              </w:rPr>
              <w:t>Greenhouse and waste gas (CO</w:t>
            </w:r>
            <w:r w:rsidRPr="0095581D">
              <w:rPr>
                <w:rFonts w:hint="eastAsia"/>
                <w:sz w:val="22"/>
                <w:szCs w:val="22"/>
                <w:vertAlign w:val="subscript"/>
              </w:rPr>
              <w:t>2</w:t>
            </w:r>
            <w:r w:rsidRPr="00CA7386">
              <w:rPr>
                <w:rFonts w:hint="eastAsia"/>
                <w:sz w:val="22"/>
                <w:szCs w:val="22"/>
              </w:rPr>
              <w:t>, CO, CH</w:t>
            </w:r>
            <w:r w:rsidRPr="0095581D">
              <w:rPr>
                <w:rFonts w:hint="eastAsia"/>
                <w:sz w:val="22"/>
                <w:szCs w:val="22"/>
                <w:vertAlign w:val="subscript"/>
              </w:rPr>
              <w:t>4</w:t>
            </w:r>
            <w:r w:rsidRPr="00CA7386">
              <w:rPr>
                <w:rFonts w:hint="eastAsia"/>
                <w:sz w:val="22"/>
                <w:szCs w:val="22"/>
              </w:rPr>
              <w:t>)</w:t>
            </w:r>
          </w:p>
        </w:tc>
      </w:tr>
      <w:tr w:rsidR="007261C7" w:rsidRPr="00F15DA3" w14:paraId="4CEEBB68" w14:textId="77777777" w:rsidTr="009A0FD7">
        <w:trPr>
          <w:cantSplit/>
          <w:trHeight w:val="233"/>
          <w:jc w:val="center"/>
        </w:trPr>
        <w:tc>
          <w:tcPr>
            <w:tcW w:w="655" w:type="pct"/>
            <w:vAlign w:val="center"/>
          </w:tcPr>
          <w:p w14:paraId="7A6A7CB6" w14:textId="6E360EE1" w:rsidR="007261C7" w:rsidRPr="00F15DA3" w:rsidRDefault="007261C7" w:rsidP="007D4CCA">
            <w:pPr>
              <w:contextualSpacing/>
              <w:rPr>
                <w:sz w:val="22"/>
                <w:szCs w:val="22"/>
              </w:rPr>
            </w:pPr>
            <w:r>
              <w:rPr>
                <w:sz w:val="22"/>
                <w:szCs w:val="22"/>
              </w:rPr>
              <w:t>40</w:t>
            </w:r>
          </w:p>
        </w:tc>
        <w:tc>
          <w:tcPr>
            <w:tcW w:w="552" w:type="pct"/>
            <w:vAlign w:val="center"/>
          </w:tcPr>
          <w:p w14:paraId="623F395E" w14:textId="2AE5AF5F" w:rsidR="007261C7" w:rsidRPr="00F15DA3" w:rsidRDefault="007261C7" w:rsidP="007D4CCA">
            <w:pPr>
              <w:contextualSpacing/>
              <w:rPr>
                <w:sz w:val="22"/>
                <w:szCs w:val="22"/>
              </w:rPr>
            </w:pPr>
            <w:r>
              <w:rPr>
                <w:sz w:val="22"/>
                <w:szCs w:val="22"/>
              </w:rPr>
              <w:t>1</w:t>
            </w:r>
          </w:p>
        </w:tc>
        <w:tc>
          <w:tcPr>
            <w:tcW w:w="3793" w:type="pct"/>
            <w:vAlign w:val="center"/>
          </w:tcPr>
          <w:p w14:paraId="2E88B0AD" w14:textId="13EF5514" w:rsidR="007261C7" w:rsidRPr="00F15DA3" w:rsidRDefault="007261C7" w:rsidP="007D4CCA">
            <w:pPr>
              <w:contextualSpacing/>
              <w:rPr>
                <w:sz w:val="22"/>
                <w:szCs w:val="22"/>
              </w:rPr>
            </w:pPr>
            <w:r w:rsidRPr="00CA7386">
              <w:rPr>
                <w:rFonts w:hint="eastAsia"/>
                <w:sz w:val="22"/>
                <w:szCs w:val="22"/>
              </w:rPr>
              <w:t>and Lin et al. ( 2020)reviewed</w:t>
            </w:r>
            <w:r w:rsidRPr="00CA7386">
              <w:rPr>
                <w:sz w:val="22"/>
                <w:szCs w:val="22"/>
              </w:rPr>
              <w:t xml:space="preserve"> → </w:t>
            </w:r>
            <w:r w:rsidRPr="00CA7386">
              <w:rPr>
                <w:rFonts w:hint="eastAsia"/>
                <w:sz w:val="22"/>
                <w:szCs w:val="22"/>
              </w:rPr>
              <w:t>and Lin et al. (2020) reviewed</w:t>
            </w:r>
          </w:p>
        </w:tc>
      </w:tr>
      <w:tr w:rsidR="007261C7" w:rsidRPr="00F15DA3" w14:paraId="4A4D44A2" w14:textId="77777777" w:rsidTr="009A0FD7">
        <w:trPr>
          <w:cantSplit/>
          <w:trHeight w:val="233"/>
          <w:jc w:val="center"/>
        </w:trPr>
        <w:tc>
          <w:tcPr>
            <w:tcW w:w="655" w:type="pct"/>
            <w:vAlign w:val="center"/>
          </w:tcPr>
          <w:p w14:paraId="7D986775" w14:textId="48E74894" w:rsidR="007261C7" w:rsidRPr="00F15DA3" w:rsidRDefault="007261C7" w:rsidP="007D4CCA">
            <w:pPr>
              <w:contextualSpacing/>
              <w:rPr>
                <w:sz w:val="22"/>
                <w:szCs w:val="22"/>
              </w:rPr>
            </w:pPr>
            <w:r>
              <w:rPr>
                <w:sz w:val="22"/>
                <w:szCs w:val="22"/>
              </w:rPr>
              <w:t>40</w:t>
            </w:r>
          </w:p>
        </w:tc>
        <w:tc>
          <w:tcPr>
            <w:tcW w:w="552" w:type="pct"/>
            <w:vAlign w:val="center"/>
          </w:tcPr>
          <w:p w14:paraId="5AC5FC2C" w14:textId="6BD82077" w:rsidR="007261C7" w:rsidRPr="00F15DA3" w:rsidRDefault="007261C7" w:rsidP="007D4CCA">
            <w:pPr>
              <w:contextualSpacing/>
              <w:rPr>
                <w:sz w:val="22"/>
                <w:szCs w:val="22"/>
              </w:rPr>
            </w:pPr>
            <w:r>
              <w:rPr>
                <w:sz w:val="22"/>
                <w:szCs w:val="22"/>
              </w:rPr>
              <w:t>3</w:t>
            </w:r>
          </w:p>
        </w:tc>
        <w:tc>
          <w:tcPr>
            <w:tcW w:w="3793" w:type="pct"/>
            <w:vAlign w:val="center"/>
          </w:tcPr>
          <w:p w14:paraId="786809CF" w14:textId="5F9FAE6A" w:rsidR="007261C7" w:rsidRPr="00F15DA3" w:rsidRDefault="007261C7" w:rsidP="007D4CCA">
            <w:pPr>
              <w:contextualSpacing/>
              <w:rPr>
                <w:sz w:val="22"/>
                <w:szCs w:val="22"/>
              </w:rPr>
            </w:pPr>
            <w:r w:rsidRPr="00CA7386">
              <w:rPr>
                <w:rFonts w:hint="eastAsia"/>
                <w:sz w:val="22"/>
                <w:szCs w:val="22"/>
              </w:rPr>
              <w:t>levels(Wan et al., 2019).</w:t>
            </w:r>
            <w:r w:rsidRPr="00CA7386">
              <w:rPr>
                <w:sz w:val="22"/>
                <w:szCs w:val="22"/>
              </w:rPr>
              <w:t xml:space="preserve"> → </w:t>
            </w:r>
            <w:r w:rsidRPr="00CA7386">
              <w:rPr>
                <w:rFonts w:hint="eastAsia"/>
                <w:sz w:val="22"/>
                <w:szCs w:val="22"/>
              </w:rPr>
              <w:t>levels (Wan et al., 2019).</w:t>
            </w:r>
          </w:p>
        </w:tc>
      </w:tr>
      <w:tr w:rsidR="007261C7" w:rsidRPr="00F15DA3" w14:paraId="7DA9A366" w14:textId="77777777" w:rsidTr="009A0FD7">
        <w:trPr>
          <w:cantSplit/>
          <w:trHeight w:val="233"/>
          <w:jc w:val="center"/>
        </w:trPr>
        <w:tc>
          <w:tcPr>
            <w:tcW w:w="655" w:type="pct"/>
            <w:vAlign w:val="center"/>
          </w:tcPr>
          <w:p w14:paraId="0704BF74" w14:textId="63FC2772" w:rsidR="007261C7" w:rsidRPr="00541C76" w:rsidRDefault="007261C7" w:rsidP="007D4CCA">
            <w:pPr>
              <w:contextualSpacing/>
              <w:rPr>
                <w:sz w:val="22"/>
                <w:szCs w:val="22"/>
                <w:lang w:val="en-US"/>
              </w:rPr>
            </w:pPr>
            <w:r>
              <w:rPr>
                <w:sz w:val="22"/>
                <w:szCs w:val="22"/>
                <w:lang w:val="en-US"/>
              </w:rPr>
              <w:t>46</w:t>
            </w:r>
          </w:p>
        </w:tc>
        <w:tc>
          <w:tcPr>
            <w:tcW w:w="552" w:type="pct"/>
            <w:vAlign w:val="center"/>
          </w:tcPr>
          <w:p w14:paraId="5C318341" w14:textId="2C2CDF25" w:rsidR="007261C7" w:rsidRPr="00541C76" w:rsidRDefault="007261C7" w:rsidP="007D4CCA">
            <w:pPr>
              <w:contextualSpacing/>
              <w:rPr>
                <w:sz w:val="22"/>
                <w:szCs w:val="22"/>
                <w:lang w:val="en-US"/>
              </w:rPr>
            </w:pPr>
            <w:r>
              <w:rPr>
                <w:sz w:val="22"/>
                <w:szCs w:val="22"/>
                <w:lang w:val="en-US"/>
              </w:rPr>
              <w:t>41</w:t>
            </w:r>
          </w:p>
        </w:tc>
        <w:tc>
          <w:tcPr>
            <w:tcW w:w="3793" w:type="pct"/>
            <w:vAlign w:val="center"/>
          </w:tcPr>
          <w:p w14:paraId="728544B4" w14:textId="6B46F583" w:rsidR="007261C7" w:rsidRPr="00541C76" w:rsidRDefault="007261C7" w:rsidP="007D4CCA">
            <w:pPr>
              <w:contextualSpacing/>
              <w:rPr>
                <w:sz w:val="22"/>
                <w:szCs w:val="22"/>
                <w:lang w:val="en-US"/>
              </w:rPr>
            </w:pPr>
            <w:r>
              <w:rPr>
                <w:sz w:val="22"/>
                <w:szCs w:val="22"/>
                <w:lang w:val="en-US"/>
              </w:rPr>
              <w:t>Should consider biocontainment methods developed by synthetic biology</w:t>
            </w:r>
          </w:p>
        </w:tc>
      </w:tr>
      <w:tr w:rsidR="007261C7" w:rsidRPr="00F15DA3" w14:paraId="27D65F93" w14:textId="77777777" w:rsidTr="009A0FD7">
        <w:trPr>
          <w:cantSplit/>
          <w:trHeight w:val="233"/>
          <w:jc w:val="center"/>
        </w:trPr>
        <w:tc>
          <w:tcPr>
            <w:tcW w:w="655" w:type="pct"/>
            <w:vAlign w:val="center"/>
          </w:tcPr>
          <w:p w14:paraId="6FEE838D" w14:textId="5B21E203" w:rsidR="007261C7" w:rsidRPr="007261C7" w:rsidRDefault="007261C7" w:rsidP="007D4CCA">
            <w:pPr>
              <w:contextualSpacing/>
              <w:rPr>
                <w:sz w:val="22"/>
                <w:szCs w:val="22"/>
                <w:lang w:val="en-US"/>
              </w:rPr>
            </w:pPr>
            <w:r>
              <w:rPr>
                <w:sz w:val="22"/>
                <w:szCs w:val="22"/>
                <w:lang w:val="en-US"/>
              </w:rPr>
              <w:t>57-60</w:t>
            </w:r>
          </w:p>
        </w:tc>
        <w:tc>
          <w:tcPr>
            <w:tcW w:w="552" w:type="pct"/>
            <w:vAlign w:val="center"/>
          </w:tcPr>
          <w:p w14:paraId="2C39B009" w14:textId="7E5986E3" w:rsidR="007261C7" w:rsidRPr="007261C7" w:rsidRDefault="007261C7" w:rsidP="007D4CCA">
            <w:pPr>
              <w:contextualSpacing/>
              <w:rPr>
                <w:sz w:val="22"/>
                <w:szCs w:val="22"/>
                <w:lang w:val="en-US"/>
              </w:rPr>
            </w:pPr>
            <w:r>
              <w:rPr>
                <w:sz w:val="22"/>
                <w:szCs w:val="22"/>
                <w:lang w:val="en-US"/>
              </w:rPr>
              <w:t>All</w:t>
            </w:r>
          </w:p>
        </w:tc>
        <w:tc>
          <w:tcPr>
            <w:tcW w:w="3793" w:type="pct"/>
            <w:vAlign w:val="center"/>
          </w:tcPr>
          <w:p w14:paraId="3C230DD4" w14:textId="544ADF74" w:rsidR="007261C7" w:rsidRPr="007261C7" w:rsidRDefault="007261C7" w:rsidP="007D4CCA">
            <w:pPr>
              <w:contextualSpacing/>
              <w:rPr>
                <w:sz w:val="22"/>
                <w:szCs w:val="22"/>
                <w:lang w:val="en-US"/>
              </w:rPr>
            </w:pPr>
            <w:r>
              <w:rPr>
                <w:sz w:val="22"/>
                <w:szCs w:val="22"/>
                <w:lang w:val="en-US"/>
              </w:rPr>
              <w:t>This section fails to distinguish synthetic biology from conventional genetic engineering in terms of GMO development</w:t>
            </w:r>
          </w:p>
        </w:tc>
      </w:tr>
      <w:tr w:rsidR="00B11BBF" w:rsidRPr="00F15DA3" w14:paraId="10C6C7D4" w14:textId="77777777" w:rsidTr="00975F8A">
        <w:trPr>
          <w:cantSplit/>
          <w:trHeight w:val="233"/>
          <w:jc w:val="center"/>
        </w:trPr>
        <w:tc>
          <w:tcPr>
            <w:tcW w:w="5000" w:type="pct"/>
            <w:gridSpan w:val="3"/>
            <w:shd w:val="clear" w:color="auto" w:fill="BFBFBF"/>
            <w:vAlign w:val="center"/>
          </w:tcPr>
          <w:p w14:paraId="41D68F12" w14:textId="77777777" w:rsidR="00B11BBF" w:rsidRPr="00F15DA3" w:rsidRDefault="00B11BBF" w:rsidP="00975F8A">
            <w:pPr>
              <w:rPr>
                <w:b/>
                <w:sz w:val="22"/>
                <w:szCs w:val="22"/>
              </w:rPr>
            </w:pPr>
          </w:p>
          <w:p w14:paraId="5F3B769C" w14:textId="77777777" w:rsidR="00B11BBF" w:rsidRPr="00F15DA3" w:rsidRDefault="00B11BBF" w:rsidP="00975F8A">
            <w:pPr>
              <w:rPr>
                <w:b/>
                <w:sz w:val="22"/>
                <w:szCs w:val="22"/>
              </w:rPr>
            </w:pPr>
            <w:r w:rsidRPr="00F15DA3">
              <w:rPr>
                <w:b/>
                <w:sz w:val="22"/>
                <w:szCs w:val="22"/>
              </w:rPr>
              <w:t>Comments on the Technical Series on Synthetic Biology</w:t>
            </w:r>
          </w:p>
          <w:p w14:paraId="07422D0C" w14:textId="77777777" w:rsidR="00B11BBF" w:rsidRPr="00F15DA3" w:rsidRDefault="00B11BBF" w:rsidP="00975F8A">
            <w:pPr>
              <w:rPr>
                <w:b/>
                <w:sz w:val="22"/>
                <w:szCs w:val="22"/>
              </w:rPr>
            </w:pPr>
          </w:p>
        </w:tc>
      </w:tr>
      <w:tr w:rsidR="00B11BBF" w:rsidRPr="00F15DA3" w14:paraId="090A76BA" w14:textId="77777777" w:rsidTr="00975F8A">
        <w:trPr>
          <w:cantSplit/>
          <w:trHeight w:val="233"/>
          <w:jc w:val="center"/>
        </w:trPr>
        <w:tc>
          <w:tcPr>
            <w:tcW w:w="655" w:type="pct"/>
            <w:vAlign w:val="center"/>
          </w:tcPr>
          <w:p w14:paraId="34ECD8C6" w14:textId="77777777" w:rsidR="00B11BBF" w:rsidRPr="00F15DA3" w:rsidRDefault="00B11BBF" w:rsidP="00975F8A">
            <w:pPr>
              <w:rPr>
                <w:b/>
                <w:sz w:val="22"/>
                <w:szCs w:val="22"/>
              </w:rPr>
            </w:pPr>
            <w:r w:rsidRPr="00F15DA3">
              <w:rPr>
                <w:b/>
                <w:sz w:val="22"/>
                <w:szCs w:val="22"/>
              </w:rPr>
              <w:t>Page #</w:t>
            </w:r>
          </w:p>
        </w:tc>
        <w:tc>
          <w:tcPr>
            <w:tcW w:w="552" w:type="pct"/>
            <w:vAlign w:val="center"/>
          </w:tcPr>
          <w:p w14:paraId="7D44E5B7" w14:textId="77777777" w:rsidR="00B11BBF" w:rsidRPr="00F15DA3" w:rsidRDefault="00B11BBF" w:rsidP="00975F8A">
            <w:pPr>
              <w:rPr>
                <w:b/>
                <w:sz w:val="22"/>
                <w:szCs w:val="22"/>
              </w:rPr>
            </w:pPr>
            <w:r w:rsidRPr="00F15DA3">
              <w:rPr>
                <w:b/>
                <w:sz w:val="22"/>
                <w:szCs w:val="22"/>
              </w:rPr>
              <w:t>Line #</w:t>
            </w:r>
          </w:p>
        </w:tc>
        <w:tc>
          <w:tcPr>
            <w:tcW w:w="3793" w:type="pct"/>
            <w:vAlign w:val="center"/>
          </w:tcPr>
          <w:p w14:paraId="572D89C0" w14:textId="77777777" w:rsidR="00B11BBF" w:rsidRPr="00F15DA3" w:rsidRDefault="00B11BBF" w:rsidP="00975F8A">
            <w:pPr>
              <w:rPr>
                <w:b/>
                <w:sz w:val="22"/>
                <w:szCs w:val="22"/>
              </w:rPr>
            </w:pPr>
            <w:r w:rsidRPr="00F15DA3">
              <w:rPr>
                <w:b/>
                <w:sz w:val="22"/>
                <w:szCs w:val="22"/>
              </w:rPr>
              <w:t>Comment</w:t>
            </w:r>
          </w:p>
        </w:tc>
      </w:tr>
      <w:tr w:rsidR="00D81433" w:rsidRPr="00F15DA3" w14:paraId="3C4AD14E" w14:textId="77777777" w:rsidTr="009F16A2">
        <w:trPr>
          <w:cantSplit/>
          <w:trHeight w:val="5829"/>
          <w:jc w:val="center"/>
        </w:trPr>
        <w:tc>
          <w:tcPr>
            <w:tcW w:w="1207" w:type="pct"/>
            <w:gridSpan w:val="2"/>
            <w:vAlign w:val="center"/>
          </w:tcPr>
          <w:p w14:paraId="7179673A" w14:textId="77777777" w:rsidR="00D81433" w:rsidRPr="00F15DA3" w:rsidRDefault="00D81433" w:rsidP="00975F8A">
            <w:pPr>
              <w:rPr>
                <w:sz w:val="22"/>
                <w:szCs w:val="22"/>
              </w:rPr>
            </w:pPr>
            <w:r>
              <w:rPr>
                <w:sz w:val="22"/>
                <w:szCs w:val="22"/>
              </w:rPr>
              <w:t>General comments</w:t>
            </w:r>
          </w:p>
        </w:tc>
        <w:tc>
          <w:tcPr>
            <w:tcW w:w="3793" w:type="pct"/>
            <w:vAlign w:val="center"/>
          </w:tcPr>
          <w:p w14:paraId="2D3BA5A9" w14:textId="7B63C49F" w:rsidR="00D81433" w:rsidRPr="00B11BBF" w:rsidRDefault="00D81433" w:rsidP="00B11BBF">
            <w:pPr>
              <w:rPr>
                <w:rFonts w:eastAsia="맑은 고딕"/>
                <w:sz w:val="22"/>
                <w:szCs w:val="22"/>
                <w:lang w:val="en-US"/>
              </w:rPr>
            </w:pPr>
            <w:r w:rsidRPr="00B11BBF">
              <w:rPr>
                <w:rFonts w:eastAsia="맑은 고딕"/>
                <w:sz w:val="22"/>
                <w:szCs w:val="22"/>
                <w:lang w:val="en-US"/>
              </w:rPr>
              <w:t xml:space="preserve">Synthetic Biology TS No. 82 update draft deals with and well explains the vast contents of synthetic biology, but the following technologies need to be considered with more details: High-throughput (e.g., Next Generation Sequencing), Bioinformatics (computational biology), and fluid dynamics. With regard to NGS, DNA synthesis and improvement are accompanied by the advances in DNA decoding technology. Also, Bioinformatics systemizes complex and vast amount of biological information, while enabling big data collection and AI applications. Finally, the control of </w:t>
            </w:r>
            <w:proofErr w:type="spellStart"/>
            <w:r w:rsidRPr="00B11BBF">
              <w:rPr>
                <w:rFonts w:eastAsia="맑은 고딕"/>
                <w:sz w:val="22"/>
                <w:szCs w:val="22"/>
                <w:lang w:val="en-US"/>
              </w:rPr>
              <w:t>Microfluid</w:t>
            </w:r>
            <w:proofErr w:type="spellEnd"/>
            <w:r w:rsidRPr="00B11BBF">
              <w:rPr>
                <w:rFonts w:eastAsia="맑은 고딕"/>
                <w:sz w:val="22"/>
                <w:szCs w:val="22"/>
                <w:lang w:val="en-US"/>
              </w:rPr>
              <w:t xml:space="preserve"> enables a single cell at the nanoscale to be controlled, which drives the development of synthetic biology. </w:t>
            </w:r>
          </w:p>
          <w:p w14:paraId="644F2221" w14:textId="77777777" w:rsidR="00D81433" w:rsidRPr="00B11BBF" w:rsidRDefault="00D81433" w:rsidP="00B11BBF">
            <w:pPr>
              <w:rPr>
                <w:rFonts w:eastAsia="맑은 고딕"/>
                <w:sz w:val="22"/>
                <w:szCs w:val="22"/>
                <w:lang w:val="en-US"/>
              </w:rPr>
            </w:pPr>
          </w:p>
          <w:p w14:paraId="6BD743A4" w14:textId="6C21BF7F" w:rsidR="00D81433" w:rsidRPr="00B11BBF" w:rsidRDefault="00D81433" w:rsidP="00B11BBF">
            <w:pPr>
              <w:rPr>
                <w:rFonts w:eastAsia="맑은 고딕" w:hint="eastAsia"/>
                <w:sz w:val="22"/>
                <w:szCs w:val="22"/>
                <w:lang w:val="en-US"/>
              </w:rPr>
            </w:pPr>
            <w:r w:rsidRPr="00B11BBF">
              <w:rPr>
                <w:rFonts w:eastAsia="맑은 고딕"/>
                <w:sz w:val="22"/>
                <w:szCs w:val="22"/>
                <w:lang w:val="en-US"/>
              </w:rPr>
              <w:t xml:space="preserve">The need for a regulatory governance for the development of synthetic biology should be more emphasized. Chapter D addressed the potential impacts of synthetic biology, but the actual contents are mainly focusing on the ‘concerns’ of synthetic biology. It would be recommended to include more positive impacts of synthetic biology, such as industrial and economic influences through technological innovation by Gingko or </w:t>
            </w:r>
            <w:proofErr w:type="spellStart"/>
            <w:r w:rsidRPr="00B11BBF">
              <w:rPr>
                <w:rFonts w:eastAsia="맑은 고딕"/>
                <w:sz w:val="22"/>
                <w:szCs w:val="22"/>
                <w:lang w:val="en-US"/>
              </w:rPr>
              <w:t>Moderna</w:t>
            </w:r>
            <w:proofErr w:type="spellEnd"/>
            <w:r w:rsidRPr="00B11BBF">
              <w:rPr>
                <w:rFonts w:eastAsia="맑은 고딕"/>
                <w:sz w:val="22"/>
                <w:szCs w:val="22"/>
                <w:lang w:val="en-US"/>
              </w:rPr>
              <w:t xml:space="preserve"> company, development of new genetic resources and accumulation of rapid scientific knowledge through the projects of </w:t>
            </w:r>
            <w:r>
              <w:rPr>
                <w:rFonts w:eastAsia="맑은 고딕"/>
                <w:sz w:val="22"/>
                <w:szCs w:val="22"/>
                <w:lang w:val="en-US"/>
              </w:rPr>
              <w:t xml:space="preserve">YG </w:t>
            </w:r>
            <w:r w:rsidRPr="00B11BBF">
              <w:rPr>
                <w:rFonts w:eastAsia="맑은 고딕"/>
                <w:sz w:val="22"/>
                <w:szCs w:val="22"/>
                <w:lang w:val="en-US"/>
              </w:rPr>
              <w:t>2.0 or GP-write etc</w:t>
            </w:r>
            <w:r>
              <w:rPr>
                <w:rFonts w:eastAsia="맑은 고딕"/>
                <w:sz w:val="22"/>
                <w:szCs w:val="22"/>
                <w:lang w:val="en-US"/>
              </w:rPr>
              <w:t>.</w:t>
            </w:r>
            <w:r w:rsidRPr="00B11BBF">
              <w:rPr>
                <w:rFonts w:eastAsia="맑은 고딕"/>
                <w:sz w:val="22"/>
                <w:szCs w:val="22"/>
                <w:lang w:val="en-US"/>
              </w:rPr>
              <w:t xml:space="preserve">, and survival of organisms in the extreme environment or in the space like NASA’s Cubes. </w:t>
            </w:r>
          </w:p>
        </w:tc>
      </w:tr>
      <w:tr w:rsidR="009A0FD7" w:rsidRPr="00F15DA3" w14:paraId="4C8F117C" w14:textId="77777777" w:rsidTr="00975F8A">
        <w:trPr>
          <w:cantSplit/>
          <w:trHeight w:val="233"/>
          <w:jc w:val="center"/>
        </w:trPr>
        <w:tc>
          <w:tcPr>
            <w:tcW w:w="5000" w:type="pct"/>
            <w:gridSpan w:val="3"/>
            <w:shd w:val="clear" w:color="auto" w:fill="BFBFBF"/>
            <w:vAlign w:val="center"/>
          </w:tcPr>
          <w:p w14:paraId="3B9AF59F" w14:textId="77777777" w:rsidR="009A0FD7" w:rsidRPr="00F15DA3" w:rsidRDefault="009A0FD7" w:rsidP="00975F8A">
            <w:pPr>
              <w:rPr>
                <w:b/>
                <w:sz w:val="22"/>
                <w:szCs w:val="22"/>
              </w:rPr>
            </w:pPr>
          </w:p>
          <w:p w14:paraId="42CDAF8A" w14:textId="77777777" w:rsidR="009A0FD7" w:rsidRPr="00F15DA3" w:rsidRDefault="009A0FD7" w:rsidP="00975F8A">
            <w:pPr>
              <w:rPr>
                <w:b/>
                <w:sz w:val="22"/>
                <w:szCs w:val="22"/>
              </w:rPr>
            </w:pPr>
            <w:r w:rsidRPr="00F15DA3">
              <w:rPr>
                <w:b/>
                <w:sz w:val="22"/>
                <w:szCs w:val="22"/>
              </w:rPr>
              <w:t>Comments on the Technical Series on Synthetic Biology</w:t>
            </w:r>
          </w:p>
          <w:p w14:paraId="67D409F6" w14:textId="77777777" w:rsidR="009A0FD7" w:rsidRPr="00F15DA3" w:rsidRDefault="009A0FD7" w:rsidP="00975F8A">
            <w:pPr>
              <w:rPr>
                <w:b/>
                <w:sz w:val="22"/>
                <w:szCs w:val="22"/>
              </w:rPr>
            </w:pPr>
          </w:p>
        </w:tc>
      </w:tr>
      <w:tr w:rsidR="009A0FD7" w:rsidRPr="00F15DA3" w14:paraId="0BF79ED6" w14:textId="77777777" w:rsidTr="009A0FD7">
        <w:trPr>
          <w:cantSplit/>
          <w:trHeight w:val="233"/>
          <w:jc w:val="center"/>
        </w:trPr>
        <w:tc>
          <w:tcPr>
            <w:tcW w:w="655" w:type="pct"/>
          </w:tcPr>
          <w:p w14:paraId="2D9D581A" w14:textId="359531F6" w:rsidR="009A0FD7" w:rsidRPr="00C658CD" w:rsidRDefault="009A0FD7" w:rsidP="009A0FD7">
            <w:pPr>
              <w:rPr>
                <w:b/>
                <w:sz w:val="22"/>
                <w:szCs w:val="22"/>
              </w:rPr>
            </w:pPr>
            <w:r w:rsidRPr="00C658CD">
              <w:rPr>
                <w:b/>
                <w:sz w:val="22"/>
                <w:szCs w:val="22"/>
              </w:rPr>
              <w:t>Page</w:t>
            </w:r>
            <w:r>
              <w:rPr>
                <w:b/>
                <w:sz w:val="22"/>
                <w:szCs w:val="22"/>
              </w:rPr>
              <w:t xml:space="preserve"> #</w:t>
            </w:r>
          </w:p>
        </w:tc>
        <w:tc>
          <w:tcPr>
            <w:tcW w:w="552" w:type="pct"/>
          </w:tcPr>
          <w:p w14:paraId="0849BAF6" w14:textId="37AA8961" w:rsidR="009A0FD7" w:rsidRPr="00F15DA3" w:rsidRDefault="009A0FD7" w:rsidP="009A0FD7">
            <w:pPr>
              <w:rPr>
                <w:sz w:val="22"/>
                <w:szCs w:val="22"/>
              </w:rPr>
            </w:pPr>
            <w:r>
              <w:rPr>
                <w:b/>
                <w:sz w:val="22"/>
                <w:szCs w:val="22"/>
              </w:rPr>
              <w:t>Line #</w:t>
            </w:r>
          </w:p>
        </w:tc>
        <w:tc>
          <w:tcPr>
            <w:tcW w:w="3793" w:type="pct"/>
          </w:tcPr>
          <w:p w14:paraId="0F9616DC" w14:textId="24650E01" w:rsidR="009A0FD7" w:rsidRPr="00F15DA3" w:rsidRDefault="009A0FD7" w:rsidP="009A0FD7">
            <w:pPr>
              <w:rPr>
                <w:sz w:val="22"/>
                <w:szCs w:val="22"/>
              </w:rPr>
            </w:pPr>
            <w:r w:rsidRPr="00C658CD">
              <w:rPr>
                <w:b/>
                <w:sz w:val="22"/>
                <w:szCs w:val="22"/>
              </w:rPr>
              <w:t>Comment</w:t>
            </w:r>
          </w:p>
        </w:tc>
      </w:tr>
      <w:tr w:rsidR="009A0FD7" w:rsidRPr="00F15DA3" w14:paraId="4251518C" w14:textId="77777777" w:rsidTr="009A0FD7">
        <w:trPr>
          <w:cantSplit/>
          <w:trHeight w:val="233"/>
          <w:jc w:val="center"/>
        </w:trPr>
        <w:tc>
          <w:tcPr>
            <w:tcW w:w="655" w:type="pct"/>
          </w:tcPr>
          <w:p w14:paraId="73E54E9D" w14:textId="44B24B24" w:rsidR="009A0FD7" w:rsidRPr="00C658CD" w:rsidRDefault="009A0FD7" w:rsidP="009A0FD7">
            <w:pPr>
              <w:rPr>
                <w:b/>
                <w:sz w:val="22"/>
                <w:szCs w:val="22"/>
              </w:rPr>
            </w:pPr>
            <w:r>
              <w:rPr>
                <w:rFonts w:eastAsia="맑은 고딕" w:hint="eastAsia"/>
                <w:sz w:val="22"/>
                <w:szCs w:val="22"/>
              </w:rPr>
              <w:t>8</w:t>
            </w:r>
          </w:p>
        </w:tc>
        <w:tc>
          <w:tcPr>
            <w:tcW w:w="552" w:type="pct"/>
          </w:tcPr>
          <w:p w14:paraId="3F05CC14" w14:textId="06F97168" w:rsidR="009A0FD7" w:rsidRDefault="009A0FD7" w:rsidP="009A0FD7">
            <w:pPr>
              <w:rPr>
                <w:b/>
                <w:sz w:val="22"/>
                <w:szCs w:val="22"/>
              </w:rPr>
            </w:pPr>
            <w:r>
              <w:rPr>
                <w:rFonts w:eastAsia="맑은 고딕" w:hint="eastAsia"/>
                <w:sz w:val="22"/>
                <w:szCs w:val="22"/>
              </w:rPr>
              <w:t>1</w:t>
            </w:r>
            <w:r>
              <w:rPr>
                <w:rFonts w:eastAsia="맑은 고딕"/>
                <w:sz w:val="22"/>
                <w:szCs w:val="22"/>
              </w:rPr>
              <w:t>7-19</w:t>
            </w:r>
          </w:p>
        </w:tc>
        <w:tc>
          <w:tcPr>
            <w:tcW w:w="3793" w:type="pct"/>
          </w:tcPr>
          <w:p w14:paraId="5C72FC99" w14:textId="2A8067A4" w:rsidR="009A0FD7" w:rsidRPr="00C658CD" w:rsidRDefault="009A0FD7" w:rsidP="009A0FD7">
            <w:pPr>
              <w:rPr>
                <w:b/>
                <w:sz w:val="22"/>
                <w:szCs w:val="22"/>
              </w:rPr>
            </w:pPr>
            <w:r w:rsidRPr="00C658CD">
              <w:rPr>
                <w:sz w:val="22"/>
                <w:szCs w:val="22"/>
              </w:rPr>
              <w:t>This</w:t>
            </w:r>
            <w:r>
              <w:rPr>
                <w:sz w:val="22"/>
                <w:szCs w:val="22"/>
              </w:rPr>
              <w:t xml:space="preserve"> three-way categorization of synthetic biology applications is useful from the perspective of researchers and industrialists, but it still needs to be further refined. For example, what does it mean by “contained”? Does it mean “managed”? Or “manageable”? Then, does “unmanaged” or “semi-</w:t>
            </w:r>
            <w:proofErr w:type="spellStart"/>
            <w:r>
              <w:rPr>
                <w:sz w:val="22"/>
                <w:szCs w:val="22"/>
              </w:rPr>
              <w:t>manged</w:t>
            </w:r>
            <w:proofErr w:type="spellEnd"/>
            <w:r>
              <w:rPr>
                <w:sz w:val="22"/>
                <w:szCs w:val="22"/>
              </w:rPr>
              <w:t xml:space="preserve">” mean “uncontained”? Also, it is questionable whether the distinction between urban/rural settings is necessary here. (Consider also the part on page 29, line 11 and thereafter) </w:t>
            </w:r>
            <w:r w:rsidRPr="00C658CD">
              <w:rPr>
                <w:sz w:val="22"/>
                <w:szCs w:val="22"/>
              </w:rPr>
              <w:t xml:space="preserve"> </w:t>
            </w:r>
          </w:p>
        </w:tc>
      </w:tr>
      <w:tr w:rsidR="009A0FD7" w:rsidRPr="00F15DA3" w14:paraId="2A4A550E" w14:textId="77777777" w:rsidTr="009A0FD7">
        <w:trPr>
          <w:cantSplit/>
          <w:trHeight w:val="233"/>
          <w:jc w:val="center"/>
        </w:trPr>
        <w:tc>
          <w:tcPr>
            <w:tcW w:w="655" w:type="pct"/>
          </w:tcPr>
          <w:p w14:paraId="10D27631" w14:textId="00ADD4E7" w:rsidR="009A0FD7" w:rsidRDefault="009A0FD7" w:rsidP="009A0FD7">
            <w:pPr>
              <w:rPr>
                <w:rFonts w:eastAsia="맑은 고딕"/>
                <w:sz w:val="22"/>
                <w:szCs w:val="22"/>
              </w:rPr>
            </w:pPr>
            <w:r>
              <w:rPr>
                <w:rFonts w:eastAsia="맑은 고딕" w:hint="eastAsia"/>
                <w:sz w:val="22"/>
                <w:szCs w:val="22"/>
              </w:rPr>
              <w:t>8</w:t>
            </w:r>
          </w:p>
        </w:tc>
        <w:tc>
          <w:tcPr>
            <w:tcW w:w="552" w:type="pct"/>
          </w:tcPr>
          <w:p w14:paraId="750CEA66" w14:textId="27CD5B17" w:rsidR="009A0FD7" w:rsidRDefault="009A0FD7" w:rsidP="009A0FD7">
            <w:pPr>
              <w:rPr>
                <w:rFonts w:eastAsia="맑은 고딕"/>
                <w:sz w:val="22"/>
                <w:szCs w:val="22"/>
              </w:rPr>
            </w:pPr>
            <w:r>
              <w:rPr>
                <w:rFonts w:eastAsia="맑은 고딕" w:hint="eastAsia"/>
                <w:sz w:val="22"/>
                <w:szCs w:val="22"/>
              </w:rPr>
              <w:t>3</w:t>
            </w:r>
            <w:r>
              <w:rPr>
                <w:rFonts w:eastAsia="맑은 고딕"/>
                <w:sz w:val="22"/>
                <w:szCs w:val="22"/>
              </w:rPr>
              <w:t>8-</w:t>
            </w:r>
          </w:p>
        </w:tc>
        <w:tc>
          <w:tcPr>
            <w:tcW w:w="3793" w:type="pct"/>
          </w:tcPr>
          <w:p w14:paraId="0B893887" w14:textId="0C2C4B8A" w:rsidR="009A0FD7" w:rsidRPr="00C658CD" w:rsidRDefault="009A0FD7" w:rsidP="009A0FD7">
            <w:pPr>
              <w:rPr>
                <w:sz w:val="22"/>
                <w:szCs w:val="22"/>
              </w:rPr>
            </w:pPr>
            <w:r>
              <w:rPr>
                <w:sz w:val="22"/>
                <w:szCs w:val="22"/>
              </w:rPr>
              <w:t xml:space="preserve">Fragmented landscape at the international level – </w:t>
            </w:r>
            <w:r w:rsidRPr="00C658CD">
              <w:rPr>
                <w:sz w:val="22"/>
                <w:szCs w:val="22"/>
              </w:rPr>
              <w:t>This is</w:t>
            </w:r>
            <w:r>
              <w:rPr>
                <w:sz w:val="22"/>
                <w:szCs w:val="22"/>
              </w:rPr>
              <w:t xml:space="preserve"> an important issue to be addressed. I am glad that the report has pointed that out. </w:t>
            </w:r>
          </w:p>
        </w:tc>
      </w:tr>
      <w:tr w:rsidR="009A0FD7" w:rsidRPr="00F15DA3" w14:paraId="29DE913A" w14:textId="77777777" w:rsidTr="009A0FD7">
        <w:trPr>
          <w:cantSplit/>
          <w:trHeight w:val="233"/>
          <w:jc w:val="center"/>
        </w:trPr>
        <w:tc>
          <w:tcPr>
            <w:tcW w:w="655" w:type="pct"/>
          </w:tcPr>
          <w:p w14:paraId="696E2385" w14:textId="5A7617C4" w:rsidR="009A0FD7" w:rsidRDefault="009A0FD7" w:rsidP="009A0FD7">
            <w:pPr>
              <w:rPr>
                <w:rFonts w:eastAsia="맑은 고딕"/>
                <w:sz w:val="22"/>
                <w:szCs w:val="22"/>
              </w:rPr>
            </w:pPr>
            <w:r>
              <w:rPr>
                <w:rFonts w:eastAsia="맑은 고딕" w:hint="eastAsia"/>
                <w:sz w:val="22"/>
                <w:szCs w:val="22"/>
              </w:rPr>
              <w:t>9</w:t>
            </w:r>
          </w:p>
        </w:tc>
        <w:tc>
          <w:tcPr>
            <w:tcW w:w="552" w:type="pct"/>
          </w:tcPr>
          <w:p w14:paraId="41559DFD" w14:textId="7F7A8ECB" w:rsidR="009A0FD7" w:rsidRDefault="009A0FD7" w:rsidP="009A0FD7">
            <w:pPr>
              <w:rPr>
                <w:rFonts w:eastAsia="맑은 고딕"/>
                <w:sz w:val="22"/>
                <w:szCs w:val="22"/>
              </w:rPr>
            </w:pPr>
            <w:r>
              <w:rPr>
                <w:rFonts w:eastAsia="맑은 고딕" w:hint="eastAsia"/>
                <w:sz w:val="22"/>
                <w:szCs w:val="22"/>
              </w:rPr>
              <w:t>8</w:t>
            </w:r>
            <w:r>
              <w:rPr>
                <w:rFonts w:eastAsia="맑은 고딕"/>
                <w:sz w:val="22"/>
                <w:szCs w:val="22"/>
              </w:rPr>
              <w:t xml:space="preserve">- </w:t>
            </w:r>
          </w:p>
        </w:tc>
        <w:tc>
          <w:tcPr>
            <w:tcW w:w="3793" w:type="pct"/>
          </w:tcPr>
          <w:p w14:paraId="0C9ACE07" w14:textId="1BC504B9" w:rsidR="009A0FD7" w:rsidRDefault="009A0FD7" w:rsidP="009A0FD7">
            <w:pPr>
              <w:rPr>
                <w:sz w:val="22"/>
                <w:szCs w:val="22"/>
              </w:rPr>
            </w:pPr>
            <w:r>
              <w:rPr>
                <w:rFonts w:eastAsia="맑은 고딕"/>
                <w:sz w:val="22"/>
                <w:szCs w:val="22"/>
              </w:rPr>
              <w:t>“</w:t>
            </w:r>
            <w:proofErr w:type="gramStart"/>
            <w:r>
              <w:rPr>
                <w:rFonts w:eastAsia="맑은 고딕" w:hint="eastAsia"/>
                <w:sz w:val="22"/>
                <w:szCs w:val="22"/>
              </w:rPr>
              <w:t>i</w:t>
            </w:r>
            <w:r>
              <w:rPr>
                <w:rFonts w:eastAsia="맑은 고딕"/>
                <w:sz w:val="22"/>
                <w:szCs w:val="22"/>
              </w:rPr>
              <w:t>ntegrating</w:t>
            </w:r>
            <w:proofErr w:type="gramEnd"/>
            <w:r>
              <w:rPr>
                <w:rFonts w:eastAsia="맑은 고딕"/>
                <w:sz w:val="22"/>
                <w:szCs w:val="22"/>
              </w:rPr>
              <w:t xml:space="preserve"> the scientific freedom . . .” with what? This sentence looks incomplete. At the same time, the juxtaposition of scientific freedom and responsible research can give an illusive getaway without a wide-ranging discussion of what constitutes responsible research how to achieve it. We have to be reminded of somewhat disappointing inputs from the Human Genome Project’s ELSI initiatives.</w:t>
            </w:r>
          </w:p>
        </w:tc>
      </w:tr>
      <w:tr w:rsidR="009A0FD7" w:rsidRPr="00F15DA3" w14:paraId="37B9003C" w14:textId="77777777" w:rsidTr="009A0FD7">
        <w:trPr>
          <w:cantSplit/>
          <w:trHeight w:val="233"/>
          <w:jc w:val="center"/>
        </w:trPr>
        <w:tc>
          <w:tcPr>
            <w:tcW w:w="655" w:type="pct"/>
          </w:tcPr>
          <w:p w14:paraId="05188B7C" w14:textId="4F4AC2A8" w:rsidR="009A0FD7" w:rsidRDefault="009A0FD7" w:rsidP="009A0FD7">
            <w:pPr>
              <w:rPr>
                <w:rFonts w:eastAsia="맑은 고딕"/>
                <w:sz w:val="22"/>
                <w:szCs w:val="22"/>
              </w:rPr>
            </w:pPr>
            <w:r>
              <w:rPr>
                <w:rFonts w:eastAsia="맑은 고딕" w:hint="eastAsia"/>
                <w:sz w:val="22"/>
                <w:szCs w:val="22"/>
              </w:rPr>
              <w:t>1</w:t>
            </w:r>
            <w:r>
              <w:rPr>
                <w:rFonts w:eastAsia="맑은 고딕"/>
                <w:sz w:val="22"/>
                <w:szCs w:val="22"/>
              </w:rPr>
              <w:t>0</w:t>
            </w:r>
          </w:p>
        </w:tc>
        <w:tc>
          <w:tcPr>
            <w:tcW w:w="552" w:type="pct"/>
          </w:tcPr>
          <w:p w14:paraId="19ABB64B" w14:textId="021A7E1A" w:rsidR="009A0FD7" w:rsidRDefault="009A0FD7" w:rsidP="009A0FD7">
            <w:pPr>
              <w:rPr>
                <w:rFonts w:eastAsia="맑은 고딕"/>
                <w:sz w:val="22"/>
                <w:szCs w:val="22"/>
              </w:rPr>
            </w:pPr>
            <w:r>
              <w:rPr>
                <w:rFonts w:eastAsia="맑은 고딕" w:hint="eastAsia"/>
                <w:sz w:val="22"/>
                <w:szCs w:val="22"/>
              </w:rPr>
              <w:t>1</w:t>
            </w:r>
            <w:r>
              <w:rPr>
                <w:rFonts w:eastAsia="맑은 고딕"/>
                <w:sz w:val="22"/>
                <w:szCs w:val="22"/>
              </w:rPr>
              <w:t>0-</w:t>
            </w:r>
          </w:p>
        </w:tc>
        <w:tc>
          <w:tcPr>
            <w:tcW w:w="3793" w:type="pct"/>
          </w:tcPr>
          <w:p w14:paraId="6B7D0F18" w14:textId="4D646178" w:rsidR="009A0FD7" w:rsidRDefault="009A0FD7" w:rsidP="009A0FD7">
            <w:pPr>
              <w:rPr>
                <w:rFonts w:eastAsia="맑은 고딕"/>
                <w:sz w:val="22"/>
                <w:szCs w:val="22"/>
              </w:rPr>
            </w:pPr>
            <w:r>
              <w:rPr>
                <w:rFonts w:eastAsia="맑은 고딕"/>
                <w:sz w:val="22"/>
                <w:szCs w:val="22"/>
              </w:rPr>
              <w:t>The expression, “essentially ubiquitous,” looks too strong and deterministic. It has to be toned down and made humble.</w:t>
            </w:r>
          </w:p>
        </w:tc>
      </w:tr>
      <w:tr w:rsidR="009A0FD7" w:rsidRPr="00F15DA3" w14:paraId="392DFE6E" w14:textId="77777777" w:rsidTr="009A0FD7">
        <w:trPr>
          <w:cantSplit/>
          <w:trHeight w:val="233"/>
          <w:jc w:val="center"/>
        </w:trPr>
        <w:tc>
          <w:tcPr>
            <w:tcW w:w="655" w:type="pct"/>
          </w:tcPr>
          <w:p w14:paraId="44C45859" w14:textId="34868B77" w:rsidR="009A0FD7" w:rsidRDefault="009A0FD7" w:rsidP="009A0FD7">
            <w:pPr>
              <w:rPr>
                <w:rFonts w:eastAsia="맑은 고딕"/>
                <w:sz w:val="22"/>
                <w:szCs w:val="22"/>
              </w:rPr>
            </w:pPr>
            <w:r>
              <w:rPr>
                <w:rFonts w:eastAsia="맑은 고딕" w:hint="eastAsia"/>
                <w:sz w:val="22"/>
                <w:szCs w:val="22"/>
              </w:rPr>
              <w:t>4</w:t>
            </w:r>
            <w:r>
              <w:rPr>
                <w:rFonts w:eastAsia="맑은 고딕"/>
                <w:sz w:val="22"/>
                <w:szCs w:val="22"/>
              </w:rPr>
              <w:t>0</w:t>
            </w:r>
          </w:p>
        </w:tc>
        <w:tc>
          <w:tcPr>
            <w:tcW w:w="552" w:type="pct"/>
          </w:tcPr>
          <w:p w14:paraId="3B7E368F" w14:textId="28A13557" w:rsidR="009A0FD7" w:rsidRDefault="009A0FD7" w:rsidP="009A0FD7">
            <w:pPr>
              <w:rPr>
                <w:rFonts w:eastAsia="맑은 고딕"/>
                <w:sz w:val="22"/>
                <w:szCs w:val="22"/>
              </w:rPr>
            </w:pPr>
            <w:r>
              <w:rPr>
                <w:rFonts w:eastAsia="맑은 고딕" w:hint="eastAsia"/>
                <w:sz w:val="22"/>
                <w:szCs w:val="22"/>
              </w:rPr>
              <w:t>5</w:t>
            </w:r>
            <w:r>
              <w:rPr>
                <w:rFonts w:eastAsia="맑은 고딕"/>
                <w:sz w:val="22"/>
                <w:szCs w:val="22"/>
              </w:rPr>
              <w:t>-</w:t>
            </w:r>
          </w:p>
        </w:tc>
        <w:tc>
          <w:tcPr>
            <w:tcW w:w="3793" w:type="pct"/>
          </w:tcPr>
          <w:p w14:paraId="73FFD8D3" w14:textId="4B880DAA" w:rsidR="009A0FD7" w:rsidRDefault="009A0FD7" w:rsidP="009A0FD7">
            <w:pPr>
              <w:rPr>
                <w:rFonts w:eastAsia="맑은 고딕"/>
                <w:sz w:val="22"/>
                <w:szCs w:val="22"/>
              </w:rPr>
            </w:pPr>
            <w:r>
              <w:rPr>
                <w:rFonts w:eastAsia="맑은 고딕" w:hint="eastAsia"/>
                <w:sz w:val="22"/>
                <w:szCs w:val="22"/>
              </w:rPr>
              <w:t>W</w:t>
            </w:r>
            <w:r>
              <w:rPr>
                <w:rFonts w:eastAsia="맑은 고딕"/>
                <w:sz w:val="22"/>
                <w:szCs w:val="22"/>
              </w:rPr>
              <w:t>ould it be possible to provide reasons why certain applications of synthetic biology have remained in early stages of R&amp;D? Because of technical difficulties? Lack of funding? Too much regulation?</w:t>
            </w:r>
          </w:p>
        </w:tc>
      </w:tr>
      <w:tr w:rsidR="009A0FD7" w:rsidRPr="00F15DA3" w14:paraId="67BD0022" w14:textId="77777777" w:rsidTr="009A0FD7">
        <w:trPr>
          <w:cantSplit/>
          <w:trHeight w:val="233"/>
          <w:jc w:val="center"/>
        </w:trPr>
        <w:tc>
          <w:tcPr>
            <w:tcW w:w="655" w:type="pct"/>
          </w:tcPr>
          <w:p w14:paraId="29642D98" w14:textId="58BB1495" w:rsidR="009A0FD7" w:rsidRDefault="009A0FD7" w:rsidP="009A0FD7">
            <w:pPr>
              <w:rPr>
                <w:rFonts w:eastAsia="맑은 고딕"/>
                <w:sz w:val="22"/>
                <w:szCs w:val="22"/>
              </w:rPr>
            </w:pPr>
            <w:r>
              <w:rPr>
                <w:rFonts w:eastAsia="맑은 고딕" w:hint="eastAsia"/>
                <w:sz w:val="22"/>
                <w:szCs w:val="22"/>
              </w:rPr>
              <w:t>6</w:t>
            </w:r>
            <w:r>
              <w:rPr>
                <w:rFonts w:eastAsia="맑은 고딕"/>
                <w:sz w:val="22"/>
                <w:szCs w:val="22"/>
              </w:rPr>
              <w:t>4</w:t>
            </w:r>
          </w:p>
        </w:tc>
        <w:tc>
          <w:tcPr>
            <w:tcW w:w="552" w:type="pct"/>
          </w:tcPr>
          <w:p w14:paraId="0335F6FD" w14:textId="1C11781D" w:rsidR="009A0FD7" w:rsidRDefault="009A0FD7" w:rsidP="009A0FD7">
            <w:pPr>
              <w:rPr>
                <w:rFonts w:eastAsia="맑은 고딕"/>
                <w:sz w:val="22"/>
                <w:szCs w:val="22"/>
              </w:rPr>
            </w:pPr>
            <w:r>
              <w:rPr>
                <w:rFonts w:eastAsia="맑은 고딕" w:hint="eastAsia"/>
                <w:sz w:val="22"/>
                <w:szCs w:val="22"/>
              </w:rPr>
              <w:t>4</w:t>
            </w:r>
            <w:r>
              <w:rPr>
                <w:rFonts w:eastAsia="맑은 고딕"/>
                <w:sz w:val="22"/>
                <w:szCs w:val="22"/>
              </w:rPr>
              <w:t>1-</w:t>
            </w:r>
          </w:p>
        </w:tc>
        <w:tc>
          <w:tcPr>
            <w:tcW w:w="3793" w:type="pct"/>
          </w:tcPr>
          <w:p w14:paraId="4851086C" w14:textId="6539BE29" w:rsidR="009A0FD7" w:rsidRDefault="009A0FD7" w:rsidP="009A0FD7">
            <w:pPr>
              <w:rPr>
                <w:rFonts w:eastAsia="맑은 고딕"/>
                <w:sz w:val="22"/>
                <w:szCs w:val="22"/>
              </w:rPr>
            </w:pPr>
            <w:r>
              <w:rPr>
                <w:rFonts w:eastAsia="맑은 고딕" w:hint="eastAsia"/>
                <w:sz w:val="22"/>
                <w:szCs w:val="22"/>
              </w:rPr>
              <w:t>T</w:t>
            </w:r>
            <w:r>
              <w:rPr>
                <w:rFonts w:eastAsia="맑은 고딕"/>
                <w:sz w:val="22"/>
                <w:szCs w:val="22"/>
              </w:rPr>
              <w:t>he concept of “anticipatory framework” and the solution by “political will” are here suggested without much elaboration. In other words, do the current debates and concerns stem from the lack of this kind of framework and a certain political will? Perhaps rephrasing some sentences is needed to avoid any misunderstanding.</w:t>
            </w:r>
          </w:p>
        </w:tc>
      </w:tr>
      <w:tr w:rsidR="009A0FD7" w:rsidRPr="00F15DA3" w14:paraId="4F67FB8D" w14:textId="77777777" w:rsidTr="009A0FD7">
        <w:trPr>
          <w:cantSplit/>
          <w:trHeight w:val="233"/>
          <w:jc w:val="center"/>
        </w:trPr>
        <w:tc>
          <w:tcPr>
            <w:tcW w:w="655" w:type="pct"/>
          </w:tcPr>
          <w:p w14:paraId="488BC5AB" w14:textId="632A3F90" w:rsidR="009A0FD7" w:rsidRDefault="009A0FD7" w:rsidP="009A0FD7">
            <w:pPr>
              <w:rPr>
                <w:rFonts w:eastAsia="맑은 고딕"/>
                <w:sz w:val="22"/>
                <w:szCs w:val="22"/>
              </w:rPr>
            </w:pPr>
            <w:r>
              <w:rPr>
                <w:rFonts w:eastAsia="맑은 고딕" w:hint="eastAsia"/>
                <w:sz w:val="22"/>
                <w:szCs w:val="22"/>
              </w:rPr>
              <w:lastRenderedPageBreak/>
              <w:t>7</w:t>
            </w:r>
            <w:r>
              <w:rPr>
                <w:rFonts w:eastAsia="맑은 고딕"/>
                <w:sz w:val="22"/>
                <w:szCs w:val="22"/>
              </w:rPr>
              <w:t>2</w:t>
            </w:r>
          </w:p>
        </w:tc>
        <w:tc>
          <w:tcPr>
            <w:tcW w:w="552" w:type="pct"/>
          </w:tcPr>
          <w:p w14:paraId="352B09E9" w14:textId="66D5745E" w:rsidR="009A0FD7" w:rsidRDefault="009A0FD7" w:rsidP="009A0FD7">
            <w:pPr>
              <w:rPr>
                <w:rFonts w:eastAsia="맑은 고딕"/>
                <w:sz w:val="22"/>
                <w:szCs w:val="22"/>
              </w:rPr>
            </w:pPr>
            <w:r>
              <w:rPr>
                <w:rFonts w:eastAsia="맑은 고딕" w:hint="eastAsia"/>
                <w:sz w:val="22"/>
                <w:szCs w:val="22"/>
              </w:rPr>
              <w:t>8</w:t>
            </w:r>
            <w:r>
              <w:rPr>
                <w:rFonts w:eastAsia="맑은 고딕"/>
                <w:sz w:val="22"/>
                <w:szCs w:val="22"/>
              </w:rPr>
              <w:t>-</w:t>
            </w:r>
          </w:p>
        </w:tc>
        <w:tc>
          <w:tcPr>
            <w:tcW w:w="3793" w:type="pct"/>
          </w:tcPr>
          <w:p w14:paraId="4F2812D9" w14:textId="25DE1A0F" w:rsidR="009A0FD7" w:rsidRDefault="009A0FD7" w:rsidP="009A0FD7">
            <w:pPr>
              <w:rPr>
                <w:rFonts w:eastAsia="맑은 고딕"/>
                <w:sz w:val="22"/>
                <w:szCs w:val="22"/>
              </w:rPr>
            </w:pPr>
            <w:r>
              <w:rPr>
                <w:rFonts w:eastAsia="맑은 고딕" w:hint="eastAsia"/>
                <w:sz w:val="22"/>
                <w:szCs w:val="22"/>
              </w:rPr>
              <w:t>I</w:t>
            </w:r>
            <w:r>
              <w:rPr>
                <w:rFonts w:eastAsia="맑은 고딕"/>
                <w:sz w:val="22"/>
                <w:szCs w:val="22"/>
              </w:rPr>
              <w:t xml:space="preserve">t will be desirable to provide some examples of “Human Practices” done in </w:t>
            </w:r>
            <w:proofErr w:type="spellStart"/>
            <w:r>
              <w:rPr>
                <w:rFonts w:eastAsia="맑은 고딕"/>
                <w:sz w:val="22"/>
                <w:szCs w:val="22"/>
              </w:rPr>
              <w:t>i</w:t>
            </w:r>
            <w:proofErr w:type="spellEnd"/>
            <w:r>
              <w:rPr>
                <w:rFonts w:eastAsia="맑은 고딕"/>
                <w:sz w:val="22"/>
                <w:szCs w:val="22"/>
              </w:rPr>
              <w:t>-GEM</w:t>
            </w:r>
          </w:p>
        </w:tc>
      </w:tr>
      <w:tr w:rsidR="009A0FD7" w:rsidRPr="00F15DA3" w14:paraId="40C89AEE" w14:textId="77777777" w:rsidTr="009A0FD7">
        <w:trPr>
          <w:cantSplit/>
          <w:trHeight w:val="233"/>
          <w:jc w:val="center"/>
        </w:trPr>
        <w:tc>
          <w:tcPr>
            <w:tcW w:w="655" w:type="pct"/>
          </w:tcPr>
          <w:p w14:paraId="33B19023" w14:textId="6AEC8429" w:rsidR="009A0FD7" w:rsidRDefault="009A0FD7" w:rsidP="009A0FD7">
            <w:pPr>
              <w:rPr>
                <w:rFonts w:eastAsia="맑은 고딕"/>
                <w:sz w:val="22"/>
                <w:szCs w:val="22"/>
              </w:rPr>
            </w:pPr>
            <w:r>
              <w:rPr>
                <w:rFonts w:eastAsia="맑은 고딕" w:hint="eastAsia"/>
                <w:sz w:val="22"/>
                <w:szCs w:val="22"/>
              </w:rPr>
              <w:t>1</w:t>
            </w:r>
            <w:r>
              <w:rPr>
                <w:rFonts w:eastAsia="맑은 고딕"/>
                <w:sz w:val="22"/>
                <w:szCs w:val="22"/>
              </w:rPr>
              <w:t>30</w:t>
            </w:r>
          </w:p>
        </w:tc>
        <w:tc>
          <w:tcPr>
            <w:tcW w:w="552" w:type="pct"/>
          </w:tcPr>
          <w:p w14:paraId="3DF36DA6" w14:textId="0E9701B9" w:rsidR="009A0FD7" w:rsidRDefault="009A0FD7" w:rsidP="009A0FD7">
            <w:pPr>
              <w:rPr>
                <w:rFonts w:eastAsia="맑은 고딕"/>
                <w:sz w:val="22"/>
                <w:szCs w:val="22"/>
              </w:rPr>
            </w:pPr>
            <w:r>
              <w:rPr>
                <w:rFonts w:eastAsia="맑은 고딕" w:hint="eastAsia"/>
                <w:sz w:val="22"/>
                <w:szCs w:val="22"/>
              </w:rPr>
              <w:t>4</w:t>
            </w:r>
            <w:r>
              <w:rPr>
                <w:rFonts w:eastAsia="맑은 고딕"/>
                <w:sz w:val="22"/>
                <w:szCs w:val="22"/>
              </w:rPr>
              <w:t>-</w:t>
            </w:r>
          </w:p>
        </w:tc>
        <w:tc>
          <w:tcPr>
            <w:tcW w:w="3793" w:type="pct"/>
          </w:tcPr>
          <w:p w14:paraId="3EC25877" w14:textId="5229CE2D" w:rsidR="009A0FD7" w:rsidRDefault="009A0FD7" w:rsidP="009A0FD7">
            <w:pPr>
              <w:rPr>
                <w:rFonts w:eastAsia="맑은 고딕"/>
                <w:sz w:val="22"/>
                <w:szCs w:val="22"/>
              </w:rPr>
            </w:pPr>
            <w:r>
              <w:rPr>
                <w:rFonts w:eastAsia="맑은 고딕" w:hint="eastAsia"/>
                <w:sz w:val="22"/>
                <w:szCs w:val="22"/>
              </w:rPr>
              <w:t>I</w:t>
            </w:r>
            <w:r>
              <w:rPr>
                <w:rFonts w:eastAsia="맑은 고딕"/>
                <w:sz w:val="22"/>
                <w:szCs w:val="22"/>
              </w:rPr>
              <w:t xml:space="preserve">t is true that relatively little “real world” data has been collected. I agree that, because of this situation, “any potential benefits of each application should, by necessity, be considered on a case-by-case basis.” Yet, this paragraph does not really address the issues related to risk assessment. The lack of “real world” data is essentially the reason why CBD has embraced the precautionary principle in the first place. It is desirable to have a few sentences to deal with this point. </w:t>
            </w:r>
          </w:p>
        </w:tc>
      </w:tr>
      <w:tr w:rsidR="009A0FD7" w:rsidRPr="00F15DA3" w14:paraId="72C74125" w14:textId="77777777" w:rsidTr="009A0FD7">
        <w:trPr>
          <w:cantSplit/>
          <w:trHeight w:val="233"/>
          <w:jc w:val="center"/>
        </w:trPr>
        <w:tc>
          <w:tcPr>
            <w:tcW w:w="655" w:type="pct"/>
          </w:tcPr>
          <w:p w14:paraId="07A9D9B6" w14:textId="611B1F5A" w:rsidR="009A0FD7" w:rsidRDefault="009A0FD7" w:rsidP="009A0FD7">
            <w:pPr>
              <w:rPr>
                <w:rFonts w:eastAsia="맑은 고딕"/>
                <w:sz w:val="22"/>
                <w:szCs w:val="22"/>
              </w:rPr>
            </w:pPr>
            <w:r>
              <w:rPr>
                <w:rFonts w:eastAsia="맑은 고딕" w:hint="eastAsia"/>
                <w:sz w:val="22"/>
                <w:szCs w:val="22"/>
              </w:rPr>
              <w:t>1</w:t>
            </w:r>
            <w:r>
              <w:rPr>
                <w:rFonts w:eastAsia="맑은 고딕"/>
                <w:sz w:val="22"/>
                <w:szCs w:val="22"/>
              </w:rPr>
              <w:t>31</w:t>
            </w:r>
          </w:p>
        </w:tc>
        <w:tc>
          <w:tcPr>
            <w:tcW w:w="552" w:type="pct"/>
          </w:tcPr>
          <w:p w14:paraId="1A11DE68" w14:textId="688EA3B9" w:rsidR="009A0FD7" w:rsidRDefault="009A0FD7" w:rsidP="009A0FD7">
            <w:pPr>
              <w:rPr>
                <w:rFonts w:eastAsia="맑은 고딕"/>
                <w:sz w:val="22"/>
                <w:szCs w:val="22"/>
              </w:rPr>
            </w:pPr>
            <w:r>
              <w:rPr>
                <w:rFonts w:eastAsia="맑은 고딕" w:hint="eastAsia"/>
                <w:sz w:val="22"/>
                <w:szCs w:val="22"/>
              </w:rPr>
              <w:t>1</w:t>
            </w:r>
            <w:r>
              <w:rPr>
                <w:rFonts w:eastAsia="맑은 고딕"/>
                <w:sz w:val="22"/>
                <w:szCs w:val="22"/>
              </w:rPr>
              <w:t>3</w:t>
            </w:r>
          </w:p>
        </w:tc>
        <w:tc>
          <w:tcPr>
            <w:tcW w:w="3793" w:type="pct"/>
          </w:tcPr>
          <w:p w14:paraId="3A8DF39A" w14:textId="432BDCDA" w:rsidR="009A0FD7" w:rsidRDefault="009A0FD7" w:rsidP="009A0FD7">
            <w:pPr>
              <w:rPr>
                <w:rFonts w:eastAsia="맑은 고딕"/>
                <w:sz w:val="22"/>
                <w:szCs w:val="22"/>
              </w:rPr>
            </w:pPr>
            <w:r>
              <w:rPr>
                <w:rFonts w:eastAsia="맑은 고딕" w:hint="eastAsia"/>
                <w:sz w:val="22"/>
                <w:szCs w:val="22"/>
              </w:rPr>
              <w:t>G</w:t>
            </w:r>
            <w:r>
              <w:rPr>
                <w:rFonts w:eastAsia="맑은 고딕"/>
                <w:sz w:val="22"/>
                <w:szCs w:val="22"/>
              </w:rPr>
              <w:t xml:space="preserve">ood examples of how civilian initiated projects can make a difference in dealing with the engagement issues. Perhaps the concept of “Global Observatory” on genome editing, suggested and pursued by a group of scholars, including Professor Sheila </w:t>
            </w:r>
            <w:proofErr w:type="spellStart"/>
            <w:r>
              <w:rPr>
                <w:rFonts w:eastAsia="맑은 고딕"/>
                <w:sz w:val="22"/>
                <w:szCs w:val="22"/>
              </w:rPr>
              <w:t>Jasanoff</w:t>
            </w:r>
            <w:proofErr w:type="spellEnd"/>
            <w:r>
              <w:rPr>
                <w:rFonts w:eastAsia="맑은 고딕"/>
                <w:sz w:val="22"/>
                <w:szCs w:val="22"/>
              </w:rPr>
              <w:t xml:space="preserve"> at Harvard Kennedy School, can be added to the list. </w:t>
            </w:r>
          </w:p>
        </w:tc>
      </w:tr>
      <w:tr w:rsidR="00D81433" w:rsidRPr="00F15DA3" w14:paraId="097CCE1E" w14:textId="77777777" w:rsidTr="006F21A2">
        <w:trPr>
          <w:cantSplit/>
          <w:trHeight w:val="1528"/>
          <w:jc w:val="center"/>
        </w:trPr>
        <w:tc>
          <w:tcPr>
            <w:tcW w:w="655" w:type="pct"/>
          </w:tcPr>
          <w:p w14:paraId="7C92401C" w14:textId="13FBFB31" w:rsidR="00D81433" w:rsidRDefault="00D81433" w:rsidP="009A0FD7">
            <w:pPr>
              <w:rPr>
                <w:rFonts w:eastAsia="맑은 고딕"/>
                <w:sz w:val="22"/>
                <w:szCs w:val="22"/>
              </w:rPr>
            </w:pPr>
            <w:r>
              <w:rPr>
                <w:rFonts w:eastAsia="맑은 고딕" w:hint="eastAsia"/>
                <w:sz w:val="22"/>
                <w:szCs w:val="22"/>
              </w:rPr>
              <w:t>1</w:t>
            </w:r>
            <w:r>
              <w:rPr>
                <w:rFonts w:eastAsia="맑은 고딕"/>
                <w:sz w:val="22"/>
                <w:szCs w:val="22"/>
              </w:rPr>
              <w:t>32</w:t>
            </w:r>
          </w:p>
        </w:tc>
        <w:tc>
          <w:tcPr>
            <w:tcW w:w="552" w:type="pct"/>
          </w:tcPr>
          <w:p w14:paraId="11B27723" w14:textId="44E0334F" w:rsidR="00D81433" w:rsidRDefault="00D81433" w:rsidP="009A0FD7">
            <w:pPr>
              <w:rPr>
                <w:rFonts w:eastAsia="맑은 고딕"/>
                <w:sz w:val="22"/>
                <w:szCs w:val="22"/>
              </w:rPr>
            </w:pPr>
            <w:r>
              <w:rPr>
                <w:rFonts w:eastAsia="맑은 고딕" w:hint="eastAsia"/>
                <w:sz w:val="22"/>
                <w:szCs w:val="22"/>
              </w:rPr>
              <w:t>3</w:t>
            </w:r>
            <w:r>
              <w:rPr>
                <w:rFonts w:eastAsia="맑은 고딕"/>
                <w:sz w:val="22"/>
                <w:szCs w:val="22"/>
              </w:rPr>
              <w:t>1-</w:t>
            </w:r>
          </w:p>
        </w:tc>
        <w:tc>
          <w:tcPr>
            <w:tcW w:w="3793" w:type="pct"/>
          </w:tcPr>
          <w:p w14:paraId="06912673" w14:textId="681D337D" w:rsidR="00D81433" w:rsidRDefault="00D81433" w:rsidP="009A0FD7">
            <w:pPr>
              <w:rPr>
                <w:rFonts w:eastAsia="맑은 고딕"/>
                <w:sz w:val="22"/>
                <w:szCs w:val="22"/>
              </w:rPr>
            </w:pPr>
            <w:r>
              <w:rPr>
                <w:rFonts w:eastAsia="맑은 고딕" w:hint="eastAsia"/>
                <w:sz w:val="22"/>
                <w:szCs w:val="22"/>
              </w:rPr>
              <w:t>T</w:t>
            </w:r>
            <w:r>
              <w:rPr>
                <w:rFonts w:eastAsia="맑은 고딕"/>
                <w:sz w:val="22"/>
                <w:szCs w:val="22"/>
              </w:rPr>
              <w:t xml:space="preserve">his kind of phrasing gene drive issues – the responsibility frame of doing it now or waiting it for later – is not persuasive. It looks too deterministic (following technological determinism) and too simplistic (without considering other options). It is important to acknowledge the complexity of this contentious issues and lay out as long as possible options.  </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984240">
      <w:pPr>
        <w:tabs>
          <w:tab w:val="left" w:pos="7020"/>
        </w:tabs>
        <w:ind w:right="44"/>
        <w:contextualSpacing/>
        <w:jc w:val="both"/>
        <w:rPr>
          <w:szCs w:val="22"/>
        </w:rPr>
      </w:pPr>
    </w:p>
    <w:p w14:paraId="45303EC1" w14:textId="02AF552A" w:rsidR="00984240" w:rsidRPr="009A0FD7" w:rsidRDefault="00984240" w:rsidP="00984240">
      <w:pPr>
        <w:pStyle w:val="a7"/>
        <w:spacing w:before="0" w:beforeAutospacing="0" w:after="0" w:afterAutospacing="0"/>
        <w:contextualSpacing/>
        <w:rPr>
          <w:rFonts w:ascii="NanumMyeongjo" w:eastAsia="NanumMyeongjo" w:hAnsi="NanumMyeongjo"/>
          <w:color w:val="000000"/>
          <w:sz w:val="22"/>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a4"/>
        <w:jc w:val="center"/>
        <w:rPr>
          <w:lang w:val="en-CA"/>
        </w:rPr>
      </w:pPr>
      <w:r w:rsidRPr="00C658CD">
        <w:rPr>
          <w:sz w:val="22"/>
          <w:szCs w:val="22"/>
          <w:lang w:val="en-CA"/>
        </w:rPr>
        <w:t xml:space="preserve">Please submit your comments to </w:t>
      </w:r>
      <w:hyperlink r:id="rId6" w:history="1">
        <w:r w:rsidRPr="00C658CD">
          <w:rPr>
            <w:rStyle w:val="a5"/>
            <w:sz w:val="22"/>
            <w:szCs w:val="22"/>
            <w:lang w:val="en-CA"/>
          </w:rPr>
          <w:t>secretariat@cbd.int</w:t>
        </w:r>
      </w:hyperlink>
      <w:r w:rsidRPr="00C658CD">
        <w:rPr>
          <w:sz w:val="22"/>
          <w:szCs w:val="22"/>
          <w:lang w:val="en-CA"/>
        </w:rPr>
        <w:t>.</w:t>
      </w:r>
    </w:p>
    <w:sectPr w:rsidR="004D6145" w:rsidRPr="00593BC6" w:rsidSect="00C40106">
      <w:headerReference w:type="first" r:id="rId7"/>
      <w:pgSz w:w="11906" w:h="16838" w:code="9"/>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230B" w14:textId="77777777" w:rsidR="00380F5A" w:rsidRDefault="00380F5A" w:rsidP="00593BC6">
      <w:r>
        <w:separator/>
      </w:r>
    </w:p>
  </w:endnote>
  <w:endnote w:type="continuationSeparator" w:id="0">
    <w:p w14:paraId="21DF89B1" w14:textId="77777777" w:rsidR="00380F5A" w:rsidRDefault="00380F5A"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anumMyeongjo">
    <w:altName w:val="맑은 고딕 Semilight"/>
    <w:charset w:val="81"/>
    <w:family w:val="roman"/>
    <w:pitch w:val="variable"/>
    <w:sig w:usb0="00000000" w:usb1="09D7FCFB" w:usb2="00000010" w:usb3="00000000" w:csb0="00280001"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C588" w14:textId="77777777" w:rsidR="00380F5A" w:rsidRDefault="00380F5A" w:rsidP="00593BC6">
      <w:r>
        <w:separator/>
      </w:r>
    </w:p>
  </w:footnote>
  <w:footnote w:type="continuationSeparator" w:id="0">
    <w:p w14:paraId="4604E75A" w14:textId="77777777" w:rsidR="00380F5A" w:rsidRDefault="00380F5A"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1991" w14:textId="77777777" w:rsidR="00EA105F" w:rsidRDefault="00EA105F" w:rsidP="00EA105F">
    <w:pPr>
      <w:pStyle w:val="a3"/>
      <w:tabs>
        <w:tab w:val="clear" w:pos="8640"/>
        <w:tab w:val="right" w:pos="10260"/>
      </w:tabs>
      <w:spacing w:line="480" w:lineRule="auto"/>
      <w:ind w:left="-1260" w:right="-856"/>
      <w:jc w:val="center"/>
      <w:rPr>
        <w:rFonts w:ascii="Arial" w:hAnsi="Arial" w:cs="Arial"/>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35040"/>
    <w:rsid w:val="00054613"/>
    <w:rsid w:val="00091F4D"/>
    <w:rsid w:val="00095EC0"/>
    <w:rsid w:val="000A54FC"/>
    <w:rsid w:val="000E2E07"/>
    <w:rsid w:val="000E4FF8"/>
    <w:rsid w:val="00135D96"/>
    <w:rsid w:val="001676DB"/>
    <w:rsid w:val="00210C15"/>
    <w:rsid w:val="0024383F"/>
    <w:rsid w:val="00264090"/>
    <w:rsid w:val="00274E4D"/>
    <w:rsid w:val="00293F84"/>
    <w:rsid w:val="0032155A"/>
    <w:rsid w:val="00324739"/>
    <w:rsid w:val="00346B20"/>
    <w:rsid w:val="00363EF2"/>
    <w:rsid w:val="00380F5A"/>
    <w:rsid w:val="003925B2"/>
    <w:rsid w:val="00393449"/>
    <w:rsid w:val="003B3B8D"/>
    <w:rsid w:val="003C5737"/>
    <w:rsid w:val="00430349"/>
    <w:rsid w:val="00451151"/>
    <w:rsid w:val="004B6042"/>
    <w:rsid w:val="004D6145"/>
    <w:rsid w:val="004E426F"/>
    <w:rsid w:val="00524BE0"/>
    <w:rsid w:val="005411E6"/>
    <w:rsid w:val="00541C76"/>
    <w:rsid w:val="00593BC6"/>
    <w:rsid w:val="00594E31"/>
    <w:rsid w:val="005C4C24"/>
    <w:rsid w:val="005C7D90"/>
    <w:rsid w:val="005F0F7F"/>
    <w:rsid w:val="00605587"/>
    <w:rsid w:val="00652D1D"/>
    <w:rsid w:val="00714323"/>
    <w:rsid w:val="007261C7"/>
    <w:rsid w:val="00735FF1"/>
    <w:rsid w:val="0075104E"/>
    <w:rsid w:val="00780EC4"/>
    <w:rsid w:val="007C7273"/>
    <w:rsid w:val="007D4CCA"/>
    <w:rsid w:val="00854B69"/>
    <w:rsid w:val="00872EB7"/>
    <w:rsid w:val="008801E3"/>
    <w:rsid w:val="00881F4C"/>
    <w:rsid w:val="008A733D"/>
    <w:rsid w:val="008C05B8"/>
    <w:rsid w:val="0094560D"/>
    <w:rsid w:val="0095581D"/>
    <w:rsid w:val="00984240"/>
    <w:rsid w:val="00991F51"/>
    <w:rsid w:val="009A0FD7"/>
    <w:rsid w:val="00A05BE6"/>
    <w:rsid w:val="00A208C6"/>
    <w:rsid w:val="00A545C6"/>
    <w:rsid w:val="00AB0EA8"/>
    <w:rsid w:val="00AC17A3"/>
    <w:rsid w:val="00AD22DE"/>
    <w:rsid w:val="00B11BBF"/>
    <w:rsid w:val="00B30682"/>
    <w:rsid w:val="00B373CC"/>
    <w:rsid w:val="00B662B0"/>
    <w:rsid w:val="00BB14D8"/>
    <w:rsid w:val="00BD5D26"/>
    <w:rsid w:val="00BE73E2"/>
    <w:rsid w:val="00C33566"/>
    <w:rsid w:val="00C40106"/>
    <w:rsid w:val="00CA7386"/>
    <w:rsid w:val="00D60758"/>
    <w:rsid w:val="00D81433"/>
    <w:rsid w:val="00D8540A"/>
    <w:rsid w:val="00D97576"/>
    <w:rsid w:val="00DA7A0F"/>
    <w:rsid w:val="00DD4F55"/>
    <w:rsid w:val="00E227B2"/>
    <w:rsid w:val="00EA105F"/>
    <w:rsid w:val="00F15DA3"/>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바탕"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386"/>
    <w:rPr>
      <w:rFonts w:ascii="Times New Roman" w:eastAsia="Times New Roman" w:hAnsi="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93BC6"/>
    <w:pPr>
      <w:tabs>
        <w:tab w:val="center" w:pos="4320"/>
        <w:tab w:val="right" w:pos="8640"/>
      </w:tabs>
    </w:pPr>
    <w:rPr>
      <w:lang w:val="en-GB" w:eastAsia="en-CA"/>
    </w:rPr>
  </w:style>
  <w:style w:type="character" w:customStyle="1" w:styleId="Char">
    <w:name w:val="머리글 Char"/>
    <w:link w:val="a3"/>
    <w:rsid w:val="00593BC6"/>
    <w:rPr>
      <w:rFonts w:ascii="Times New Roman" w:eastAsia="Times New Roman" w:hAnsi="Times New Roman" w:cs="Times New Roman"/>
      <w:sz w:val="24"/>
      <w:szCs w:val="24"/>
      <w:lang w:val="en-GB" w:eastAsia="en-CA"/>
    </w:rPr>
  </w:style>
  <w:style w:type="paragraph" w:styleId="a4">
    <w:name w:val="footer"/>
    <w:basedOn w:val="a"/>
    <w:link w:val="Char0"/>
    <w:rsid w:val="00593BC6"/>
    <w:pPr>
      <w:tabs>
        <w:tab w:val="center" w:pos="4320"/>
        <w:tab w:val="right" w:pos="8640"/>
      </w:tabs>
    </w:pPr>
    <w:rPr>
      <w:lang w:val="en-GB" w:eastAsia="en-CA"/>
    </w:rPr>
  </w:style>
  <w:style w:type="character" w:customStyle="1" w:styleId="Char0">
    <w:name w:val="바닥글 Char"/>
    <w:link w:val="a4"/>
    <w:rsid w:val="00593BC6"/>
    <w:rPr>
      <w:rFonts w:ascii="Times New Roman" w:eastAsia="Times New Roman" w:hAnsi="Times New Roman" w:cs="Times New Roman"/>
      <w:sz w:val="24"/>
      <w:szCs w:val="24"/>
      <w:lang w:val="en-GB" w:eastAsia="en-CA"/>
    </w:rPr>
  </w:style>
  <w:style w:type="character" w:styleId="a5">
    <w:name w:val="Hyperlink"/>
    <w:rsid w:val="00593BC6"/>
    <w:rPr>
      <w:rFonts w:cs="Times New Roman"/>
      <w:color w:val="0000FF"/>
      <w:u w:val="single"/>
    </w:rPr>
  </w:style>
  <w:style w:type="paragraph" w:styleId="a6">
    <w:name w:val="Balloon Text"/>
    <w:basedOn w:val="a"/>
    <w:link w:val="Char1"/>
    <w:uiPriority w:val="99"/>
    <w:semiHidden/>
    <w:unhideWhenUsed/>
    <w:rsid w:val="00054613"/>
    <w:rPr>
      <w:rFonts w:ascii="Segoe UI" w:hAnsi="Segoe UI" w:cs="Segoe UI"/>
      <w:sz w:val="18"/>
      <w:szCs w:val="18"/>
      <w:lang w:val="en-GB" w:eastAsia="en-CA"/>
    </w:rPr>
  </w:style>
  <w:style w:type="character" w:customStyle="1" w:styleId="Char1">
    <w:name w:val="풍선 도움말 텍스트 Char"/>
    <w:basedOn w:val="a0"/>
    <w:link w:val="a6"/>
    <w:uiPriority w:val="99"/>
    <w:semiHidden/>
    <w:rsid w:val="00054613"/>
    <w:rPr>
      <w:rFonts w:ascii="Segoe UI" w:eastAsia="Times New Roman" w:hAnsi="Segoe UI" w:cs="Segoe UI"/>
      <w:sz w:val="18"/>
      <w:szCs w:val="18"/>
      <w:lang w:val="en-GB"/>
    </w:rPr>
  </w:style>
  <w:style w:type="paragraph" w:styleId="a7">
    <w:name w:val="Normal (Web)"/>
    <w:basedOn w:val="a"/>
    <w:uiPriority w:val="99"/>
    <w:unhideWhenUsed/>
    <w:rsid w:val="00984240"/>
    <w:pPr>
      <w:spacing w:before="100" w:beforeAutospacing="1" w:after="100" w:afterAutospacing="1"/>
    </w:pPr>
  </w:style>
  <w:style w:type="character" w:customStyle="1" w:styleId="apple-converted-space">
    <w:name w:val="apple-converted-space"/>
    <w:basedOn w:val="a0"/>
    <w:rsid w:val="0098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810">
      <w:bodyDiv w:val="1"/>
      <w:marLeft w:val="0"/>
      <w:marRight w:val="0"/>
      <w:marTop w:val="0"/>
      <w:marBottom w:val="0"/>
      <w:divBdr>
        <w:top w:val="none" w:sz="0" w:space="0" w:color="auto"/>
        <w:left w:val="none" w:sz="0" w:space="0" w:color="auto"/>
        <w:bottom w:val="none" w:sz="0" w:space="0" w:color="auto"/>
        <w:right w:val="none" w:sz="0" w:space="0" w:color="auto"/>
      </w:divBdr>
    </w:div>
    <w:div w:id="414010279">
      <w:bodyDiv w:val="1"/>
      <w:marLeft w:val="0"/>
      <w:marRight w:val="0"/>
      <w:marTop w:val="0"/>
      <w:marBottom w:val="0"/>
      <w:divBdr>
        <w:top w:val="none" w:sz="0" w:space="0" w:color="auto"/>
        <w:left w:val="none" w:sz="0" w:space="0" w:color="auto"/>
        <w:bottom w:val="none" w:sz="0" w:space="0" w:color="auto"/>
        <w:right w:val="none" w:sz="0" w:space="0" w:color="auto"/>
      </w:divBdr>
    </w:div>
    <w:div w:id="591016896">
      <w:bodyDiv w:val="1"/>
      <w:marLeft w:val="0"/>
      <w:marRight w:val="0"/>
      <w:marTop w:val="0"/>
      <w:marBottom w:val="0"/>
      <w:divBdr>
        <w:top w:val="none" w:sz="0" w:space="0" w:color="auto"/>
        <w:left w:val="none" w:sz="0" w:space="0" w:color="auto"/>
        <w:bottom w:val="none" w:sz="0" w:space="0" w:color="auto"/>
        <w:right w:val="none" w:sz="0" w:space="0" w:color="auto"/>
      </w:divBdr>
    </w:div>
    <w:div w:id="603610657">
      <w:bodyDiv w:val="1"/>
      <w:marLeft w:val="0"/>
      <w:marRight w:val="0"/>
      <w:marTop w:val="0"/>
      <w:marBottom w:val="0"/>
      <w:divBdr>
        <w:top w:val="none" w:sz="0" w:space="0" w:color="auto"/>
        <w:left w:val="none" w:sz="0" w:space="0" w:color="auto"/>
        <w:bottom w:val="none" w:sz="0" w:space="0" w:color="auto"/>
        <w:right w:val="none" w:sz="0" w:space="0" w:color="auto"/>
      </w:divBdr>
    </w:div>
    <w:div w:id="1024553239">
      <w:bodyDiv w:val="1"/>
      <w:marLeft w:val="0"/>
      <w:marRight w:val="0"/>
      <w:marTop w:val="0"/>
      <w:marBottom w:val="0"/>
      <w:divBdr>
        <w:top w:val="none" w:sz="0" w:space="0" w:color="auto"/>
        <w:left w:val="none" w:sz="0" w:space="0" w:color="auto"/>
        <w:bottom w:val="none" w:sz="0" w:space="0" w:color="auto"/>
        <w:right w:val="none" w:sz="0" w:space="0" w:color="auto"/>
      </w:divBdr>
    </w:div>
    <w:div w:id="1025520881">
      <w:bodyDiv w:val="1"/>
      <w:marLeft w:val="0"/>
      <w:marRight w:val="0"/>
      <w:marTop w:val="0"/>
      <w:marBottom w:val="0"/>
      <w:divBdr>
        <w:top w:val="none" w:sz="0" w:space="0" w:color="auto"/>
        <w:left w:val="none" w:sz="0" w:space="0" w:color="auto"/>
        <w:bottom w:val="none" w:sz="0" w:space="0" w:color="auto"/>
        <w:right w:val="none" w:sz="0" w:space="0" w:color="auto"/>
      </w:divBdr>
    </w:div>
    <w:div w:id="1577085864">
      <w:bodyDiv w:val="1"/>
      <w:marLeft w:val="0"/>
      <w:marRight w:val="0"/>
      <w:marTop w:val="0"/>
      <w:marBottom w:val="0"/>
      <w:divBdr>
        <w:top w:val="none" w:sz="0" w:space="0" w:color="auto"/>
        <w:left w:val="none" w:sz="0" w:space="0" w:color="auto"/>
        <w:bottom w:val="none" w:sz="0" w:space="0" w:color="auto"/>
        <w:right w:val="none" w:sz="0" w:space="0" w:color="auto"/>
      </w:divBdr>
    </w:div>
    <w:div w:id="1802571359">
      <w:bodyDiv w:val="1"/>
      <w:marLeft w:val="0"/>
      <w:marRight w:val="0"/>
      <w:marTop w:val="0"/>
      <w:marBottom w:val="0"/>
      <w:divBdr>
        <w:top w:val="none" w:sz="0" w:space="0" w:color="auto"/>
        <w:left w:val="none" w:sz="0" w:space="0" w:color="auto"/>
        <w:bottom w:val="none" w:sz="0" w:space="0" w:color="auto"/>
        <w:right w:val="none" w:sz="0" w:space="0" w:color="auto"/>
      </w:divBdr>
    </w:div>
    <w:div w:id="21416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bd.i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C2B42C-3FC3-DF4B-973C-004ACADBC410}">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177</TotalTime>
  <Pages>3</Pages>
  <Words>1037</Words>
  <Characters>5915</Characters>
  <Application>Microsoft Office Word</Application>
  <DocSecurity>0</DocSecurity>
  <Lines>49</Lines>
  <Paragraphs>13</Paragraphs>
  <ScaleCrop>false</ScaleCrop>
  <HeadingPairs>
    <vt:vector size="6" baseType="variant">
      <vt:variant>
        <vt:lpstr>제목</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SCBD</Company>
  <LinksUpToDate>false</LinksUpToDate>
  <CharactersWithSpaces>6939</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user</cp:lastModifiedBy>
  <cp:revision>24</cp:revision>
  <cp:lastPrinted>2021-07-06T00:29:00Z</cp:lastPrinted>
  <dcterms:created xsi:type="dcterms:W3CDTF">2021-07-05T23:56:00Z</dcterms:created>
  <dcterms:modified xsi:type="dcterms:W3CDTF">2021-07-06T04:24:00Z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documentId_7476</vt:lpwstr>
  </property>
  <property fmtid="{D5CDD505-2E9C-101B-9397-08002B2CF9AE}" pid="3" name="grammarly_documentContext">
    <vt:lpwstr>{"goals":[],"domain":"general","emotions":[],"dialect":"american"}</vt:lpwstr>
  </property>
</Properties>
</file>