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6FDFC" w14:textId="53845516" w:rsidR="00593BC6" w:rsidRDefault="00213E39" w:rsidP="00593BC6">
      <w:pPr>
        <w:pStyle w:val="Header"/>
        <w:jc w:val="center"/>
        <w:rPr>
          <w:rFonts w:ascii="Times New Roman Bold" w:hAnsi="Times New Roman Bold"/>
          <w:b/>
          <w:caps/>
          <w:sz w:val="22"/>
          <w:szCs w:val="22"/>
        </w:rPr>
      </w:pPr>
      <w:r w:rsidRPr="00C658CD">
        <w:rPr>
          <w:rFonts w:ascii="Times New Roman Bold" w:hAnsi="Times New Roman Bold"/>
          <w:b/>
          <w:caps/>
          <w:sz w:val="22"/>
          <w:szCs w:val="22"/>
        </w:rPr>
        <w:t xml:space="preserve"> </w:t>
      </w:r>
      <w:r w:rsidR="00593BC6" w:rsidRPr="00C658CD">
        <w:rPr>
          <w:rFonts w:ascii="Times New Roman Bold" w:hAnsi="Times New Roman Bold"/>
          <w:b/>
          <w:caps/>
          <w:sz w:val="22"/>
          <w:szCs w:val="22"/>
        </w:rPr>
        <w:t xml:space="preserve">template for </w:t>
      </w:r>
      <w:r w:rsidR="00054613">
        <w:rPr>
          <w:rFonts w:ascii="Times New Roman Bold" w:hAnsi="Times New Roman Bold"/>
          <w:b/>
          <w:caps/>
          <w:sz w:val="22"/>
          <w:szCs w:val="22"/>
        </w:rPr>
        <w:t xml:space="preserve">Peer Review </w:t>
      </w:r>
      <w:r w:rsidR="00593BC6" w:rsidRPr="00C658CD">
        <w:rPr>
          <w:rFonts w:ascii="Times New Roman Bold" w:hAnsi="Times New Roman Bold"/>
          <w:b/>
          <w:caps/>
          <w:sz w:val="22"/>
          <w:szCs w:val="22"/>
        </w:rPr>
        <w:t xml:space="preserve">comments </w:t>
      </w:r>
    </w:p>
    <w:p w14:paraId="5436CA10" w14:textId="460718FE" w:rsidR="0032155A" w:rsidRDefault="00213E39" w:rsidP="00593BC6">
      <w:pPr>
        <w:pStyle w:val="Header"/>
        <w:jc w:val="center"/>
        <w:rPr>
          <w:rFonts w:ascii="Times New Roman Bold" w:hAnsi="Times New Roman Bold"/>
          <w:b/>
          <w:caps/>
          <w:sz w:val="22"/>
          <w:szCs w:val="22"/>
        </w:rPr>
      </w:pPr>
      <w:r>
        <w:rPr>
          <w:rFonts w:ascii="Times New Roman Bold" w:hAnsi="Times New Roman Bold"/>
          <w:b/>
          <w:caps/>
          <w:sz w:val="22"/>
          <w:szCs w:val="22"/>
        </w:rPr>
        <w:t xml:space="preserve"> </w:t>
      </w:r>
      <w:r w:rsidR="0032155A">
        <w:rPr>
          <w:rFonts w:ascii="Times New Roman Bold" w:hAnsi="Times New Roman Bold"/>
          <w:b/>
          <w:caps/>
          <w:sz w:val="22"/>
          <w:szCs w:val="22"/>
        </w:rPr>
        <w:t>Technical series on synthetic biology</w:t>
      </w:r>
    </w:p>
    <w:tbl>
      <w:tblPr>
        <w:tblpPr w:leftFromText="180" w:rightFromText="180" w:vertAnchor="page" w:horzAnchor="margin" w:tblpY="295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125"/>
        <w:gridCol w:w="107"/>
        <w:gridCol w:w="8038"/>
      </w:tblGrid>
      <w:tr w:rsidR="00213E39" w:rsidRPr="00C658CD" w14:paraId="6EAC21E0" w14:textId="77777777" w:rsidTr="00213E39">
        <w:trPr>
          <w:cantSplit/>
          <w:trHeight w:val="233"/>
        </w:trPr>
        <w:tc>
          <w:tcPr>
            <w:tcW w:w="10188" w:type="dxa"/>
            <w:gridSpan w:val="4"/>
            <w:shd w:val="clear" w:color="auto" w:fill="C0C0C0"/>
          </w:tcPr>
          <w:p w14:paraId="4C4D1E6F" w14:textId="77777777" w:rsidR="00213E39" w:rsidRPr="00C658CD" w:rsidRDefault="00213E39" w:rsidP="00213E39">
            <w:pPr>
              <w:rPr>
                <w:b/>
                <w:sz w:val="22"/>
                <w:szCs w:val="22"/>
              </w:rPr>
            </w:pPr>
          </w:p>
          <w:p w14:paraId="459559EC" w14:textId="77777777" w:rsidR="00213E39" w:rsidRPr="00C658CD" w:rsidRDefault="00213E39" w:rsidP="00213E39">
            <w:pPr>
              <w:rPr>
                <w:b/>
                <w:sz w:val="22"/>
                <w:szCs w:val="22"/>
              </w:rPr>
            </w:pPr>
            <w:r w:rsidRPr="00C658CD">
              <w:rPr>
                <w:b/>
                <w:sz w:val="22"/>
                <w:szCs w:val="22"/>
              </w:rPr>
              <w:t>Contact information</w:t>
            </w:r>
          </w:p>
          <w:p w14:paraId="0DA78529" w14:textId="77777777" w:rsidR="00213E39" w:rsidRPr="00C658CD" w:rsidRDefault="00213E39" w:rsidP="00213E39">
            <w:pPr>
              <w:rPr>
                <w:b/>
                <w:sz w:val="22"/>
                <w:szCs w:val="22"/>
              </w:rPr>
            </w:pPr>
          </w:p>
        </w:tc>
      </w:tr>
      <w:tr w:rsidR="00213E39" w:rsidRPr="00C658CD" w14:paraId="435FADEC" w14:textId="77777777" w:rsidTr="00213E39">
        <w:trPr>
          <w:cantSplit/>
          <w:trHeight w:val="270"/>
        </w:trPr>
        <w:tc>
          <w:tcPr>
            <w:tcW w:w="2150" w:type="dxa"/>
            <w:gridSpan w:val="3"/>
          </w:tcPr>
          <w:p w14:paraId="5C9C801D" w14:textId="77777777" w:rsidR="00213E39" w:rsidRPr="00C658CD" w:rsidRDefault="00213E39" w:rsidP="00213E39">
            <w:pPr>
              <w:rPr>
                <w:b/>
                <w:sz w:val="22"/>
                <w:szCs w:val="22"/>
              </w:rPr>
            </w:pPr>
            <w:r w:rsidRPr="00C658CD">
              <w:rPr>
                <w:b/>
                <w:sz w:val="22"/>
                <w:szCs w:val="22"/>
              </w:rPr>
              <w:t>Surname:</w:t>
            </w:r>
          </w:p>
        </w:tc>
        <w:tc>
          <w:tcPr>
            <w:tcW w:w="8038" w:type="dxa"/>
          </w:tcPr>
          <w:p w14:paraId="7AEBCE8B" w14:textId="77777777" w:rsidR="00213E39" w:rsidRPr="00C658CD" w:rsidRDefault="00213E39" w:rsidP="00213E39">
            <w:pPr>
              <w:rPr>
                <w:sz w:val="22"/>
                <w:szCs w:val="22"/>
              </w:rPr>
            </w:pPr>
            <w:r>
              <w:rPr>
                <w:sz w:val="22"/>
                <w:szCs w:val="22"/>
              </w:rPr>
              <w:t>Strabala</w:t>
            </w:r>
          </w:p>
        </w:tc>
      </w:tr>
      <w:tr w:rsidR="00213E39" w:rsidRPr="00C658CD" w14:paraId="644EB598" w14:textId="77777777" w:rsidTr="00213E39">
        <w:trPr>
          <w:cantSplit/>
          <w:trHeight w:val="280"/>
        </w:trPr>
        <w:tc>
          <w:tcPr>
            <w:tcW w:w="2150" w:type="dxa"/>
            <w:gridSpan w:val="3"/>
          </w:tcPr>
          <w:p w14:paraId="48A0014A" w14:textId="77777777" w:rsidR="00213E39" w:rsidRPr="00C658CD" w:rsidRDefault="00213E39" w:rsidP="00213E39">
            <w:pPr>
              <w:rPr>
                <w:b/>
                <w:sz w:val="22"/>
                <w:szCs w:val="22"/>
              </w:rPr>
            </w:pPr>
          </w:p>
        </w:tc>
        <w:tc>
          <w:tcPr>
            <w:tcW w:w="8038" w:type="dxa"/>
          </w:tcPr>
          <w:p w14:paraId="3D5E4375" w14:textId="77777777" w:rsidR="00213E39" w:rsidRPr="00C658CD" w:rsidRDefault="00213E39" w:rsidP="00213E39">
            <w:pPr>
              <w:rPr>
                <w:sz w:val="22"/>
                <w:szCs w:val="22"/>
              </w:rPr>
            </w:pPr>
          </w:p>
        </w:tc>
      </w:tr>
      <w:tr w:rsidR="00213E39" w:rsidRPr="00C658CD" w14:paraId="0B23F02F" w14:textId="77777777" w:rsidTr="00213E39">
        <w:trPr>
          <w:cantSplit/>
          <w:trHeight w:val="270"/>
        </w:trPr>
        <w:tc>
          <w:tcPr>
            <w:tcW w:w="2150" w:type="dxa"/>
            <w:gridSpan w:val="3"/>
          </w:tcPr>
          <w:p w14:paraId="3A997D1C" w14:textId="77777777" w:rsidR="00213E39" w:rsidRPr="00C658CD" w:rsidRDefault="00213E39" w:rsidP="00213E39">
            <w:pPr>
              <w:rPr>
                <w:b/>
                <w:sz w:val="22"/>
                <w:szCs w:val="22"/>
              </w:rPr>
            </w:pPr>
            <w:r w:rsidRPr="00C658CD">
              <w:rPr>
                <w:b/>
                <w:sz w:val="22"/>
                <w:szCs w:val="22"/>
              </w:rPr>
              <w:t>Given Name:</w:t>
            </w:r>
          </w:p>
        </w:tc>
        <w:tc>
          <w:tcPr>
            <w:tcW w:w="8038" w:type="dxa"/>
          </w:tcPr>
          <w:p w14:paraId="2D615C70" w14:textId="77777777" w:rsidR="00213E39" w:rsidRPr="00C658CD" w:rsidRDefault="00213E39" w:rsidP="00213E39">
            <w:pPr>
              <w:rPr>
                <w:sz w:val="22"/>
                <w:szCs w:val="22"/>
              </w:rPr>
            </w:pPr>
            <w:r>
              <w:rPr>
                <w:sz w:val="22"/>
                <w:szCs w:val="22"/>
              </w:rPr>
              <w:t>Timothy</w:t>
            </w:r>
          </w:p>
        </w:tc>
      </w:tr>
      <w:tr w:rsidR="00213E39" w:rsidRPr="00C658CD" w14:paraId="4EC51A1E" w14:textId="77777777" w:rsidTr="00213E39">
        <w:trPr>
          <w:cantSplit/>
          <w:trHeight w:val="280"/>
        </w:trPr>
        <w:tc>
          <w:tcPr>
            <w:tcW w:w="2150" w:type="dxa"/>
            <w:gridSpan w:val="3"/>
          </w:tcPr>
          <w:p w14:paraId="7CC1F717" w14:textId="77777777" w:rsidR="00213E39" w:rsidRPr="00C658CD" w:rsidRDefault="00213E39" w:rsidP="00213E39">
            <w:pPr>
              <w:rPr>
                <w:b/>
                <w:sz w:val="22"/>
                <w:szCs w:val="22"/>
              </w:rPr>
            </w:pPr>
          </w:p>
        </w:tc>
        <w:tc>
          <w:tcPr>
            <w:tcW w:w="8038" w:type="dxa"/>
          </w:tcPr>
          <w:p w14:paraId="38311A27" w14:textId="77777777" w:rsidR="00213E39" w:rsidRPr="00C658CD" w:rsidRDefault="00213E39" w:rsidP="00213E39">
            <w:pPr>
              <w:rPr>
                <w:sz w:val="22"/>
                <w:szCs w:val="22"/>
              </w:rPr>
            </w:pPr>
          </w:p>
        </w:tc>
      </w:tr>
      <w:tr w:rsidR="00213E39" w:rsidRPr="00FF1A2A" w14:paraId="767524F2" w14:textId="77777777" w:rsidTr="00213E39">
        <w:trPr>
          <w:cantSplit/>
          <w:trHeight w:val="270"/>
        </w:trPr>
        <w:tc>
          <w:tcPr>
            <w:tcW w:w="2150" w:type="dxa"/>
            <w:gridSpan w:val="3"/>
          </w:tcPr>
          <w:p w14:paraId="7A87C377" w14:textId="77777777" w:rsidR="00213E39" w:rsidRPr="00C658CD" w:rsidRDefault="00213E39" w:rsidP="00213E39">
            <w:pPr>
              <w:rPr>
                <w:b/>
                <w:sz w:val="22"/>
                <w:szCs w:val="22"/>
              </w:rPr>
            </w:pPr>
            <w:r w:rsidRPr="00C658CD">
              <w:rPr>
                <w:b/>
                <w:sz w:val="22"/>
                <w:szCs w:val="22"/>
              </w:rPr>
              <w:t>Government</w:t>
            </w:r>
          </w:p>
        </w:tc>
        <w:tc>
          <w:tcPr>
            <w:tcW w:w="8038" w:type="dxa"/>
          </w:tcPr>
          <w:p w14:paraId="4562B2E0" w14:textId="77777777" w:rsidR="00213E39" w:rsidRPr="00F86F63" w:rsidRDefault="00213E39" w:rsidP="00213E39">
            <w:pPr>
              <w:rPr>
                <w:sz w:val="22"/>
                <w:szCs w:val="22"/>
              </w:rPr>
            </w:pPr>
            <w:r>
              <w:rPr>
                <w:sz w:val="22"/>
                <w:szCs w:val="22"/>
              </w:rPr>
              <w:t>New Zealand</w:t>
            </w:r>
          </w:p>
        </w:tc>
      </w:tr>
      <w:tr w:rsidR="00213E39" w:rsidRPr="00C658CD" w14:paraId="63F86841" w14:textId="77777777" w:rsidTr="00213E39">
        <w:trPr>
          <w:cantSplit/>
          <w:trHeight w:val="280"/>
        </w:trPr>
        <w:tc>
          <w:tcPr>
            <w:tcW w:w="2150" w:type="dxa"/>
            <w:gridSpan w:val="3"/>
          </w:tcPr>
          <w:p w14:paraId="0717557F" w14:textId="77777777" w:rsidR="00213E39" w:rsidRPr="00C658CD" w:rsidRDefault="00213E39" w:rsidP="00213E39">
            <w:pPr>
              <w:rPr>
                <w:b/>
                <w:sz w:val="22"/>
                <w:szCs w:val="22"/>
              </w:rPr>
            </w:pPr>
            <w:r w:rsidRPr="00C658CD">
              <w:rPr>
                <w:b/>
                <w:sz w:val="22"/>
                <w:szCs w:val="22"/>
              </w:rPr>
              <w:t>(if applicable):</w:t>
            </w:r>
          </w:p>
        </w:tc>
        <w:tc>
          <w:tcPr>
            <w:tcW w:w="8038" w:type="dxa"/>
          </w:tcPr>
          <w:p w14:paraId="2537AD19" w14:textId="77777777" w:rsidR="00213E39" w:rsidRPr="00C658CD" w:rsidRDefault="00213E39" w:rsidP="00213E39">
            <w:pPr>
              <w:rPr>
                <w:sz w:val="22"/>
                <w:szCs w:val="22"/>
              </w:rPr>
            </w:pPr>
          </w:p>
        </w:tc>
      </w:tr>
      <w:tr w:rsidR="00213E39" w:rsidRPr="00C658CD" w14:paraId="2F176B0E" w14:textId="77777777" w:rsidTr="00213E39">
        <w:trPr>
          <w:cantSplit/>
          <w:trHeight w:val="270"/>
        </w:trPr>
        <w:tc>
          <w:tcPr>
            <w:tcW w:w="2150" w:type="dxa"/>
            <w:gridSpan w:val="3"/>
          </w:tcPr>
          <w:p w14:paraId="4BC46D17" w14:textId="77777777" w:rsidR="00213E39" w:rsidRPr="00C658CD" w:rsidRDefault="00213E39" w:rsidP="00213E39">
            <w:pPr>
              <w:rPr>
                <w:b/>
                <w:sz w:val="22"/>
                <w:szCs w:val="22"/>
              </w:rPr>
            </w:pPr>
          </w:p>
        </w:tc>
        <w:tc>
          <w:tcPr>
            <w:tcW w:w="8038" w:type="dxa"/>
          </w:tcPr>
          <w:p w14:paraId="4999DF46" w14:textId="77777777" w:rsidR="00213E39" w:rsidRPr="00C658CD" w:rsidRDefault="00213E39" w:rsidP="00213E39">
            <w:pPr>
              <w:rPr>
                <w:sz w:val="22"/>
                <w:szCs w:val="22"/>
              </w:rPr>
            </w:pPr>
          </w:p>
        </w:tc>
      </w:tr>
      <w:tr w:rsidR="00213E39" w:rsidRPr="00C658CD" w14:paraId="05CD145F" w14:textId="77777777" w:rsidTr="00213E39">
        <w:trPr>
          <w:cantSplit/>
          <w:trHeight w:val="270"/>
        </w:trPr>
        <w:tc>
          <w:tcPr>
            <w:tcW w:w="2150" w:type="dxa"/>
            <w:gridSpan w:val="3"/>
          </w:tcPr>
          <w:p w14:paraId="3072BDC5" w14:textId="77777777" w:rsidR="00213E39" w:rsidRPr="00C658CD" w:rsidRDefault="00213E39" w:rsidP="00213E39">
            <w:pPr>
              <w:rPr>
                <w:b/>
                <w:sz w:val="22"/>
                <w:szCs w:val="22"/>
              </w:rPr>
            </w:pPr>
            <w:r w:rsidRPr="00C658CD">
              <w:rPr>
                <w:b/>
                <w:sz w:val="22"/>
                <w:szCs w:val="22"/>
              </w:rPr>
              <w:t>Organization:</w:t>
            </w:r>
          </w:p>
        </w:tc>
        <w:tc>
          <w:tcPr>
            <w:tcW w:w="8038" w:type="dxa"/>
          </w:tcPr>
          <w:p w14:paraId="3CE7058F" w14:textId="77777777" w:rsidR="00213E39" w:rsidRPr="00C658CD" w:rsidRDefault="00213E39" w:rsidP="00213E39">
            <w:pPr>
              <w:rPr>
                <w:sz w:val="22"/>
                <w:szCs w:val="22"/>
              </w:rPr>
            </w:pPr>
            <w:r>
              <w:rPr>
                <w:sz w:val="22"/>
                <w:szCs w:val="22"/>
              </w:rPr>
              <w:t>Environmental Protection Authority</w:t>
            </w:r>
          </w:p>
        </w:tc>
      </w:tr>
      <w:tr w:rsidR="00213E39" w:rsidRPr="00C658CD" w14:paraId="52740B95" w14:textId="77777777" w:rsidTr="00213E39">
        <w:trPr>
          <w:cantSplit/>
          <w:trHeight w:val="233"/>
        </w:trPr>
        <w:tc>
          <w:tcPr>
            <w:tcW w:w="2150" w:type="dxa"/>
            <w:gridSpan w:val="3"/>
          </w:tcPr>
          <w:p w14:paraId="279336B0" w14:textId="77777777" w:rsidR="00213E39" w:rsidRPr="00C658CD" w:rsidRDefault="00213E39" w:rsidP="00213E39">
            <w:pPr>
              <w:rPr>
                <w:b/>
                <w:sz w:val="22"/>
                <w:szCs w:val="22"/>
              </w:rPr>
            </w:pPr>
          </w:p>
        </w:tc>
        <w:tc>
          <w:tcPr>
            <w:tcW w:w="8038" w:type="dxa"/>
          </w:tcPr>
          <w:p w14:paraId="55A5BDED" w14:textId="77777777" w:rsidR="00213E39" w:rsidRPr="00C658CD" w:rsidRDefault="00213E39" w:rsidP="00213E39">
            <w:pPr>
              <w:rPr>
                <w:sz w:val="22"/>
                <w:szCs w:val="22"/>
              </w:rPr>
            </w:pPr>
          </w:p>
        </w:tc>
      </w:tr>
      <w:tr w:rsidR="00213E39" w:rsidRPr="00C658CD" w14:paraId="5C284ADC" w14:textId="77777777" w:rsidTr="00213E39">
        <w:trPr>
          <w:cantSplit/>
          <w:trHeight w:val="233"/>
        </w:trPr>
        <w:tc>
          <w:tcPr>
            <w:tcW w:w="2150" w:type="dxa"/>
            <w:gridSpan w:val="3"/>
          </w:tcPr>
          <w:p w14:paraId="48ED2ED7" w14:textId="77777777" w:rsidR="00213E39" w:rsidRPr="00C658CD" w:rsidRDefault="00213E39" w:rsidP="00213E39">
            <w:pPr>
              <w:rPr>
                <w:b/>
                <w:sz w:val="22"/>
                <w:szCs w:val="22"/>
              </w:rPr>
            </w:pPr>
            <w:r w:rsidRPr="00C658CD">
              <w:rPr>
                <w:b/>
                <w:sz w:val="22"/>
                <w:szCs w:val="22"/>
              </w:rPr>
              <w:t>E-mail:</w:t>
            </w:r>
          </w:p>
        </w:tc>
        <w:tc>
          <w:tcPr>
            <w:tcW w:w="8038" w:type="dxa"/>
          </w:tcPr>
          <w:p w14:paraId="4E2AD488" w14:textId="77777777" w:rsidR="00213E39" w:rsidRPr="00C658CD" w:rsidRDefault="00213E39" w:rsidP="00213E39">
            <w:pPr>
              <w:rPr>
                <w:sz w:val="22"/>
                <w:szCs w:val="22"/>
              </w:rPr>
            </w:pPr>
            <w:r>
              <w:rPr>
                <w:sz w:val="22"/>
                <w:szCs w:val="22"/>
              </w:rPr>
              <w:t>tim.strabala@epa.govt.nz</w:t>
            </w:r>
          </w:p>
        </w:tc>
      </w:tr>
      <w:tr w:rsidR="00213E39" w:rsidRPr="00C658CD" w14:paraId="28813F43" w14:textId="77777777" w:rsidTr="00213E39">
        <w:trPr>
          <w:cantSplit/>
          <w:trHeight w:val="233"/>
        </w:trPr>
        <w:tc>
          <w:tcPr>
            <w:tcW w:w="2150" w:type="dxa"/>
            <w:gridSpan w:val="3"/>
          </w:tcPr>
          <w:p w14:paraId="10CCB184" w14:textId="77777777" w:rsidR="00213E39" w:rsidRPr="00C658CD" w:rsidRDefault="00213E39" w:rsidP="00213E39">
            <w:pPr>
              <w:rPr>
                <w:b/>
                <w:sz w:val="22"/>
                <w:szCs w:val="22"/>
              </w:rPr>
            </w:pPr>
          </w:p>
        </w:tc>
        <w:tc>
          <w:tcPr>
            <w:tcW w:w="8038" w:type="dxa"/>
          </w:tcPr>
          <w:p w14:paraId="17C2D565" w14:textId="77777777" w:rsidR="00213E39" w:rsidRPr="00C658CD" w:rsidRDefault="00213E39" w:rsidP="00213E39">
            <w:pPr>
              <w:rPr>
                <w:sz w:val="22"/>
                <w:szCs w:val="22"/>
              </w:rPr>
            </w:pPr>
          </w:p>
        </w:tc>
      </w:tr>
      <w:tr w:rsidR="00213E39" w:rsidRPr="00C658CD" w14:paraId="7DBF8D27" w14:textId="77777777" w:rsidTr="00213E39">
        <w:trPr>
          <w:cantSplit/>
          <w:trHeight w:val="233"/>
        </w:trPr>
        <w:tc>
          <w:tcPr>
            <w:tcW w:w="10188" w:type="dxa"/>
            <w:gridSpan w:val="4"/>
            <w:shd w:val="clear" w:color="auto" w:fill="BFBFBF"/>
          </w:tcPr>
          <w:p w14:paraId="0164B054" w14:textId="77777777" w:rsidR="00213E39" w:rsidRPr="00C658CD" w:rsidRDefault="00213E39" w:rsidP="00213E39">
            <w:pPr>
              <w:rPr>
                <w:b/>
                <w:sz w:val="22"/>
                <w:szCs w:val="22"/>
              </w:rPr>
            </w:pPr>
          </w:p>
          <w:p w14:paraId="0ECD48D5" w14:textId="77777777" w:rsidR="00213E39" w:rsidRPr="00C658CD" w:rsidRDefault="00213E39" w:rsidP="00213E39">
            <w:pPr>
              <w:rPr>
                <w:b/>
                <w:sz w:val="22"/>
                <w:szCs w:val="22"/>
              </w:rPr>
            </w:pPr>
            <w:r w:rsidRPr="00C658CD">
              <w:rPr>
                <w:b/>
                <w:sz w:val="22"/>
                <w:szCs w:val="22"/>
              </w:rPr>
              <w:t>Comments on th</w:t>
            </w:r>
            <w:r>
              <w:rPr>
                <w:b/>
                <w:sz w:val="22"/>
                <w:szCs w:val="22"/>
              </w:rPr>
              <w:t>e Technical Series on Synthetic Biology</w:t>
            </w:r>
          </w:p>
          <w:p w14:paraId="746FBD56" w14:textId="77777777" w:rsidR="00213E39" w:rsidRPr="00C658CD" w:rsidRDefault="00213E39" w:rsidP="00213E39">
            <w:pPr>
              <w:rPr>
                <w:b/>
                <w:sz w:val="22"/>
                <w:szCs w:val="22"/>
              </w:rPr>
            </w:pPr>
          </w:p>
        </w:tc>
      </w:tr>
      <w:tr w:rsidR="00213E39" w:rsidRPr="00C658CD" w14:paraId="44A8B5F8" w14:textId="77777777" w:rsidTr="00213E39">
        <w:trPr>
          <w:cantSplit/>
          <w:trHeight w:val="233"/>
        </w:trPr>
        <w:tc>
          <w:tcPr>
            <w:tcW w:w="918" w:type="dxa"/>
          </w:tcPr>
          <w:p w14:paraId="389711F8" w14:textId="77777777" w:rsidR="00213E39" w:rsidRPr="00C658CD" w:rsidRDefault="00213E39" w:rsidP="00213E39">
            <w:pPr>
              <w:rPr>
                <w:b/>
                <w:sz w:val="22"/>
                <w:szCs w:val="22"/>
              </w:rPr>
            </w:pPr>
            <w:r w:rsidRPr="00C658CD">
              <w:rPr>
                <w:b/>
                <w:sz w:val="22"/>
                <w:szCs w:val="22"/>
              </w:rPr>
              <w:t>Page</w:t>
            </w:r>
            <w:r>
              <w:rPr>
                <w:b/>
                <w:sz w:val="22"/>
                <w:szCs w:val="22"/>
              </w:rPr>
              <w:t xml:space="preserve"> #</w:t>
            </w:r>
          </w:p>
        </w:tc>
        <w:tc>
          <w:tcPr>
            <w:tcW w:w="1125" w:type="dxa"/>
          </w:tcPr>
          <w:p w14:paraId="16993A3A" w14:textId="77777777" w:rsidR="00213E39" w:rsidRPr="00C658CD" w:rsidRDefault="00213E39" w:rsidP="00213E39">
            <w:pPr>
              <w:rPr>
                <w:b/>
                <w:sz w:val="22"/>
                <w:szCs w:val="22"/>
              </w:rPr>
            </w:pPr>
            <w:r>
              <w:rPr>
                <w:b/>
                <w:sz w:val="22"/>
                <w:szCs w:val="22"/>
              </w:rPr>
              <w:t>Line #</w:t>
            </w:r>
          </w:p>
        </w:tc>
        <w:tc>
          <w:tcPr>
            <w:tcW w:w="8145" w:type="dxa"/>
            <w:gridSpan w:val="2"/>
          </w:tcPr>
          <w:p w14:paraId="0F5B8277" w14:textId="77777777" w:rsidR="00213E39" w:rsidRPr="00C658CD" w:rsidRDefault="00213E39" w:rsidP="00213E39">
            <w:pPr>
              <w:rPr>
                <w:b/>
                <w:sz w:val="22"/>
                <w:szCs w:val="22"/>
              </w:rPr>
            </w:pPr>
            <w:r w:rsidRPr="00C658CD">
              <w:rPr>
                <w:b/>
                <w:sz w:val="22"/>
                <w:szCs w:val="22"/>
              </w:rPr>
              <w:t>Comment</w:t>
            </w:r>
          </w:p>
        </w:tc>
      </w:tr>
      <w:tr w:rsidR="00213E39" w:rsidRPr="00C658CD" w14:paraId="56C312BD" w14:textId="77777777" w:rsidTr="00213E39">
        <w:trPr>
          <w:cantSplit/>
          <w:trHeight w:val="233"/>
        </w:trPr>
        <w:tc>
          <w:tcPr>
            <w:tcW w:w="918" w:type="dxa"/>
          </w:tcPr>
          <w:p w14:paraId="1759C16A" w14:textId="77777777" w:rsidR="00213E39" w:rsidRPr="00C658CD" w:rsidRDefault="00213E39" w:rsidP="00213E39">
            <w:pPr>
              <w:rPr>
                <w:sz w:val="22"/>
                <w:szCs w:val="22"/>
              </w:rPr>
            </w:pPr>
            <w:r w:rsidRPr="00C658CD">
              <w:rPr>
                <w:sz w:val="22"/>
                <w:szCs w:val="22"/>
              </w:rPr>
              <w:t>0</w:t>
            </w:r>
          </w:p>
        </w:tc>
        <w:tc>
          <w:tcPr>
            <w:tcW w:w="1125" w:type="dxa"/>
          </w:tcPr>
          <w:p w14:paraId="695DBC92" w14:textId="77777777" w:rsidR="00213E39" w:rsidRPr="00C658CD" w:rsidRDefault="00213E39" w:rsidP="00213E39">
            <w:pPr>
              <w:rPr>
                <w:sz w:val="22"/>
                <w:szCs w:val="22"/>
              </w:rPr>
            </w:pPr>
            <w:r w:rsidRPr="00C658CD">
              <w:rPr>
                <w:sz w:val="22"/>
                <w:szCs w:val="22"/>
              </w:rPr>
              <w:t>0</w:t>
            </w:r>
          </w:p>
        </w:tc>
        <w:tc>
          <w:tcPr>
            <w:tcW w:w="8145" w:type="dxa"/>
            <w:gridSpan w:val="2"/>
          </w:tcPr>
          <w:p w14:paraId="4C182EAA" w14:textId="4B1A5303" w:rsidR="00213E39" w:rsidRPr="00C658CD" w:rsidRDefault="00AB347C" w:rsidP="00213E39">
            <w:pPr>
              <w:rPr>
                <w:sz w:val="22"/>
                <w:szCs w:val="22"/>
              </w:rPr>
            </w:pPr>
            <w:r w:rsidRPr="00AB347C">
              <w:rPr>
                <w:sz w:val="22"/>
                <w:szCs w:val="22"/>
              </w:rPr>
              <w:t>We note that there is a great deal of discussion in the document devoted to issues that we would not consider “technical”, such as dual-use applications and ethical and moral issues.  It would be our preference that a technical document such as this one avoid discussion on is</w:t>
            </w:r>
            <w:r>
              <w:rPr>
                <w:sz w:val="22"/>
                <w:szCs w:val="22"/>
              </w:rPr>
              <w:t>sues of a more political nature</w:t>
            </w:r>
            <w:r w:rsidR="00F62F36">
              <w:rPr>
                <w:sz w:val="22"/>
                <w:szCs w:val="22"/>
              </w:rPr>
              <w:t xml:space="preserve">. This is exemplified by the fact of numerous </w:t>
            </w:r>
            <w:r w:rsidR="00213E39">
              <w:rPr>
                <w:sz w:val="22"/>
                <w:szCs w:val="22"/>
              </w:rPr>
              <w:t>decisions under the Convention regarding these matters generally are qualified by the phrase “according to national circumstances”, or similar langua</w:t>
            </w:r>
            <w:bookmarkStart w:id="0" w:name="_GoBack"/>
            <w:bookmarkEnd w:id="0"/>
            <w:r w:rsidR="00213E39">
              <w:rPr>
                <w:sz w:val="22"/>
                <w:szCs w:val="22"/>
              </w:rPr>
              <w:t xml:space="preserve">ge. </w:t>
            </w:r>
          </w:p>
        </w:tc>
      </w:tr>
      <w:tr w:rsidR="00213E39" w:rsidRPr="00C658CD" w14:paraId="6EB2569F" w14:textId="77777777" w:rsidTr="00213E39">
        <w:trPr>
          <w:cantSplit/>
          <w:trHeight w:val="233"/>
        </w:trPr>
        <w:tc>
          <w:tcPr>
            <w:tcW w:w="918" w:type="dxa"/>
          </w:tcPr>
          <w:p w14:paraId="14B2B47B" w14:textId="77777777" w:rsidR="00213E39" w:rsidRPr="00C658CD" w:rsidRDefault="00213E39" w:rsidP="00213E39">
            <w:pPr>
              <w:rPr>
                <w:sz w:val="22"/>
                <w:szCs w:val="22"/>
              </w:rPr>
            </w:pPr>
          </w:p>
        </w:tc>
        <w:tc>
          <w:tcPr>
            <w:tcW w:w="1125" w:type="dxa"/>
          </w:tcPr>
          <w:p w14:paraId="26C281AA" w14:textId="77777777" w:rsidR="00213E39" w:rsidRPr="00C658CD" w:rsidRDefault="00213E39" w:rsidP="00213E39">
            <w:pPr>
              <w:rPr>
                <w:sz w:val="22"/>
                <w:szCs w:val="22"/>
              </w:rPr>
            </w:pPr>
          </w:p>
        </w:tc>
        <w:tc>
          <w:tcPr>
            <w:tcW w:w="8145" w:type="dxa"/>
            <w:gridSpan w:val="2"/>
          </w:tcPr>
          <w:p w14:paraId="0EF52C54" w14:textId="26B9E252" w:rsidR="00213E39" w:rsidRDefault="00213E39" w:rsidP="00213E39">
            <w:pPr>
              <w:rPr>
                <w:sz w:val="22"/>
                <w:szCs w:val="22"/>
              </w:rPr>
            </w:pPr>
            <w:r>
              <w:rPr>
                <w:sz w:val="22"/>
                <w:szCs w:val="22"/>
              </w:rPr>
              <w:t xml:space="preserve">We note that the authors stated that the examination of Synthetic Biology was taken to encompass a very wide range of technologies and applications. They additionally stated that not all readers would have the view that many of the technologies and applications </w:t>
            </w:r>
            <w:r w:rsidR="00F62F36">
              <w:rPr>
                <w:sz w:val="22"/>
                <w:szCs w:val="22"/>
              </w:rPr>
              <w:t>are</w:t>
            </w:r>
            <w:r>
              <w:rPr>
                <w:sz w:val="22"/>
                <w:szCs w:val="22"/>
              </w:rPr>
              <w:t xml:space="preserve"> in fact synthetic biology.</w:t>
            </w:r>
            <w:r w:rsidR="00F62F36">
              <w:rPr>
                <w:sz w:val="22"/>
                <w:szCs w:val="22"/>
              </w:rPr>
              <w:t xml:space="preserve"> </w:t>
            </w:r>
            <w:r>
              <w:rPr>
                <w:sz w:val="22"/>
                <w:szCs w:val="22"/>
              </w:rPr>
              <w:t>Given these caveats, we think that calling synthetic biology a “discipline” is something of an overreach</w:t>
            </w:r>
            <w:r w:rsidR="00F62F36">
              <w:rPr>
                <w:sz w:val="22"/>
                <w:szCs w:val="22"/>
              </w:rPr>
              <w:t xml:space="preserve">. </w:t>
            </w:r>
          </w:p>
        </w:tc>
      </w:tr>
      <w:tr w:rsidR="00213E39" w:rsidRPr="00C658CD" w14:paraId="084368FC" w14:textId="77777777" w:rsidTr="00213E39">
        <w:trPr>
          <w:cantSplit/>
          <w:trHeight w:val="233"/>
        </w:trPr>
        <w:tc>
          <w:tcPr>
            <w:tcW w:w="918" w:type="dxa"/>
          </w:tcPr>
          <w:p w14:paraId="4AB2163C" w14:textId="77777777" w:rsidR="00213E39" w:rsidRPr="00C658CD" w:rsidRDefault="00213E39" w:rsidP="00213E39">
            <w:pPr>
              <w:rPr>
                <w:sz w:val="22"/>
                <w:szCs w:val="22"/>
              </w:rPr>
            </w:pPr>
          </w:p>
        </w:tc>
        <w:tc>
          <w:tcPr>
            <w:tcW w:w="1125" w:type="dxa"/>
          </w:tcPr>
          <w:p w14:paraId="2D0BDB08" w14:textId="77777777" w:rsidR="00213E39" w:rsidRPr="00C658CD" w:rsidRDefault="00213E39" w:rsidP="00213E39">
            <w:pPr>
              <w:rPr>
                <w:sz w:val="22"/>
                <w:szCs w:val="22"/>
              </w:rPr>
            </w:pPr>
          </w:p>
        </w:tc>
        <w:tc>
          <w:tcPr>
            <w:tcW w:w="8145" w:type="dxa"/>
            <w:gridSpan w:val="2"/>
          </w:tcPr>
          <w:p w14:paraId="3ADE9693" w14:textId="0E64B5BA" w:rsidR="00213E39" w:rsidRDefault="00213E39" w:rsidP="00213E39">
            <w:pPr>
              <w:rPr>
                <w:sz w:val="22"/>
                <w:szCs w:val="22"/>
              </w:rPr>
            </w:pPr>
            <w:r>
              <w:rPr>
                <w:sz w:val="22"/>
                <w:szCs w:val="22"/>
              </w:rPr>
              <w:t xml:space="preserve">Additionally, given the “broad brush” approach taken by the authors as to what actually constitutes synthetic biology, many (if not most) of the applications discussed appear to be for the </w:t>
            </w:r>
            <w:r w:rsidR="00F62F36">
              <w:rPr>
                <w:sz w:val="22"/>
                <w:szCs w:val="22"/>
              </w:rPr>
              <w:t xml:space="preserve">simple </w:t>
            </w:r>
            <w:r>
              <w:rPr>
                <w:sz w:val="22"/>
                <w:szCs w:val="22"/>
              </w:rPr>
              <w:t>development of LMOs</w:t>
            </w:r>
            <w:r w:rsidR="00F62F36">
              <w:rPr>
                <w:sz w:val="22"/>
                <w:szCs w:val="22"/>
              </w:rPr>
              <w:t xml:space="preserve">, which do not require any special treatment under the Convention beyond the procedures already established under the Cartagena Protocol for Biosafety. </w:t>
            </w:r>
            <w:r w:rsidR="0046410B">
              <w:rPr>
                <w:sz w:val="22"/>
                <w:szCs w:val="22"/>
              </w:rPr>
              <w:t xml:space="preserve">Similarly, </w:t>
            </w:r>
            <w:r w:rsidR="00416956">
              <w:rPr>
                <w:sz w:val="22"/>
                <w:szCs w:val="22"/>
              </w:rPr>
              <w:t xml:space="preserve">CAR T-cells, cultured meat, </w:t>
            </w:r>
            <w:r w:rsidR="0046410B">
              <w:rPr>
                <w:sz w:val="22"/>
                <w:szCs w:val="22"/>
              </w:rPr>
              <w:t>genetic rescue and de</w:t>
            </w:r>
            <w:r w:rsidR="00416956">
              <w:rPr>
                <w:sz w:val="22"/>
                <w:szCs w:val="22"/>
              </w:rPr>
              <w:noBreakHyphen/>
            </w:r>
            <w:r w:rsidR="0046410B">
              <w:rPr>
                <w:sz w:val="22"/>
                <w:szCs w:val="22"/>
              </w:rPr>
              <w:t>extinction research and applications do not constitute synthetic biology.</w:t>
            </w:r>
            <w:r w:rsidR="00416956">
              <w:rPr>
                <w:sz w:val="22"/>
                <w:szCs w:val="22"/>
              </w:rPr>
              <w:t xml:space="preserve"> We are concerned that examination of such research will lead to duplication of effort regarding technologies and research that can be adequately covered under either the Cartagena Protocol, or other international agreements on (potentially) hazardous substances. Such resources would be put to better use in efforts to actually conserve biological diversity.</w:t>
            </w:r>
          </w:p>
        </w:tc>
      </w:tr>
      <w:tr w:rsidR="00213E39" w:rsidRPr="00C658CD" w14:paraId="7B0CB5DD" w14:textId="77777777" w:rsidTr="00213E39">
        <w:trPr>
          <w:cantSplit/>
          <w:trHeight w:val="233"/>
        </w:trPr>
        <w:tc>
          <w:tcPr>
            <w:tcW w:w="918" w:type="dxa"/>
          </w:tcPr>
          <w:p w14:paraId="0BEE11DE" w14:textId="77777777" w:rsidR="00213E39" w:rsidRPr="00C658CD" w:rsidRDefault="00213E39" w:rsidP="00213E39">
            <w:pPr>
              <w:rPr>
                <w:sz w:val="22"/>
                <w:szCs w:val="22"/>
              </w:rPr>
            </w:pPr>
          </w:p>
        </w:tc>
        <w:tc>
          <w:tcPr>
            <w:tcW w:w="1125" w:type="dxa"/>
          </w:tcPr>
          <w:p w14:paraId="4730323D" w14:textId="77777777" w:rsidR="00213E39" w:rsidRPr="00C658CD" w:rsidRDefault="00213E39" w:rsidP="00213E39">
            <w:pPr>
              <w:rPr>
                <w:sz w:val="22"/>
                <w:szCs w:val="22"/>
              </w:rPr>
            </w:pPr>
          </w:p>
        </w:tc>
        <w:tc>
          <w:tcPr>
            <w:tcW w:w="8145" w:type="dxa"/>
            <w:gridSpan w:val="2"/>
          </w:tcPr>
          <w:p w14:paraId="1F0417AB" w14:textId="22A6712A" w:rsidR="00213E39" w:rsidRDefault="00213E39" w:rsidP="00213E39">
            <w:pPr>
              <w:rPr>
                <w:sz w:val="22"/>
                <w:szCs w:val="22"/>
              </w:rPr>
            </w:pPr>
            <w:r>
              <w:rPr>
                <w:sz w:val="22"/>
                <w:szCs w:val="22"/>
              </w:rPr>
              <w:t xml:space="preserve">Furthermore, many of the applications discussed involve the synthesis of biological molecules, </w:t>
            </w:r>
            <w:proofErr w:type="spellStart"/>
            <w:r>
              <w:rPr>
                <w:sz w:val="22"/>
                <w:szCs w:val="22"/>
              </w:rPr>
              <w:t>eg</w:t>
            </w:r>
            <w:proofErr w:type="spellEnd"/>
            <w:r>
              <w:rPr>
                <w:sz w:val="22"/>
                <w:szCs w:val="22"/>
              </w:rPr>
              <w:t>, DNA and RNA</w:t>
            </w:r>
            <w:r w:rsidR="00BC463A">
              <w:rPr>
                <w:sz w:val="22"/>
                <w:szCs w:val="22"/>
              </w:rPr>
              <w:t xml:space="preserve">. We think that the simple synthesis of biological molecules (and their downstream applications thereof, such as cell-free systems) is not synthetic biology. </w:t>
            </w:r>
            <w:r w:rsidR="00F62F36">
              <w:rPr>
                <w:sz w:val="22"/>
                <w:szCs w:val="22"/>
              </w:rPr>
              <w:t xml:space="preserve">In fact, the discussion on many of the applications under discussion tend to echo the assessment of LMOs, in that the product of a “modern biotechnology” process </w:t>
            </w:r>
            <w:r w:rsidR="00FD0738">
              <w:rPr>
                <w:sz w:val="22"/>
                <w:szCs w:val="22"/>
              </w:rPr>
              <w:t>(</w:t>
            </w:r>
            <w:proofErr w:type="spellStart"/>
            <w:r w:rsidR="00FD0738">
              <w:rPr>
                <w:sz w:val="22"/>
                <w:szCs w:val="22"/>
              </w:rPr>
              <w:t>eg</w:t>
            </w:r>
            <w:proofErr w:type="spellEnd"/>
            <w:r w:rsidR="00FD0738">
              <w:rPr>
                <w:sz w:val="22"/>
                <w:szCs w:val="22"/>
              </w:rPr>
              <w:t xml:space="preserve">, vanillin) </w:t>
            </w:r>
            <w:r w:rsidR="00F62F36">
              <w:rPr>
                <w:sz w:val="22"/>
                <w:szCs w:val="22"/>
              </w:rPr>
              <w:t xml:space="preserve">is somehow viewed to be different to </w:t>
            </w:r>
            <w:r w:rsidR="00FD0738">
              <w:rPr>
                <w:sz w:val="22"/>
                <w:szCs w:val="22"/>
              </w:rPr>
              <w:t xml:space="preserve">vanillin produced via organic </w:t>
            </w:r>
            <w:r w:rsidR="00FD0738">
              <w:rPr>
                <w:sz w:val="22"/>
                <w:szCs w:val="22"/>
              </w:rPr>
              <w:lastRenderedPageBreak/>
              <w:t>chemistry processes, or purification from natural sources, despite no differences in the actual molecules so produced or derived. Therefore, chemical products that result from any application of synthetic biology (</w:t>
            </w:r>
            <w:proofErr w:type="spellStart"/>
            <w:r w:rsidR="00FD0738">
              <w:rPr>
                <w:sz w:val="22"/>
                <w:szCs w:val="22"/>
              </w:rPr>
              <w:t>eg</w:t>
            </w:r>
            <w:proofErr w:type="spellEnd"/>
            <w:r w:rsidR="00FD0738">
              <w:rPr>
                <w:sz w:val="22"/>
                <w:szCs w:val="22"/>
              </w:rPr>
              <w:t>, vanillin, RNA, DNA, etc.) are in fact not covered under the CBD, and there are existing international treaties that cover any potential adverse effects that they may have on the environment as substances. This document should therefore restrict itself to organisms so as to avoid duplicative processes among multiple international agreements.</w:t>
            </w:r>
          </w:p>
        </w:tc>
      </w:tr>
      <w:tr w:rsidR="00FD0738" w:rsidRPr="00C658CD" w14:paraId="04E32A5C" w14:textId="77777777" w:rsidTr="00213E39">
        <w:trPr>
          <w:cantSplit/>
          <w:trHeight w:val="233"/>
        </w:trPr>
        <w:tc>
          <w:tcPr>
            <w:tcW w:w="918" w:type="dxa"/>
          </w:tcPr>
          <w:p w14:paraId="719C165D" w14:textId="77777777" w:rsidR="00FD0738" w:rsidRPr="00C658CD" w:rsidRDefault="00FD0738" w:rsidP="00213E39">
            <w:pPr>
              <w:rPr>
                <w:sz w:val="22"/>
                <w:szCs w:val="22"/>
              </w:rPr>
            </w:pPr>
          </w:p>
        </w:tc>
        <w:tc>
          <w:tcPr>
            <w:tcW w:w="1125" w:type="dxa"/>
          </w:tcPr>
          <w:p w14:paraId="0C12D5F0" w14:textId="77777777" w:rsidR="00FD0738" w:rsidRPr="00C658CD" w:rsidRDefault="00FD0738" w:rsidP="00213E39">
            <w:pPr>
              <w:rPr>
                <w:sz w:val="22"/>
                <w:szCs w:val="22"/>
              </w:rPr>
            </w:pPr>
          </w:p>
        </w:tc>
        <w:tc>
          <w:tcPr>
            <w:tcW w:w="8145" w:type="dxa"/>
            <w:gridSpan w:val="2"/>
          </w:tcPr>
          <w:p w14:paraId="49A61E3F" w14:textId="5BAB9AB8" w:rsidR="00FD0738" w:rsidRDefault="00FD0738" w:rsidP="00213E39">
            <w:pPr>
              <w:rPr>
                <w:sz w:val="22"/>
                <w:szCs w:val="22"/>
              </w:rPr>
            </w:pPr>
            <w:r>
              <w:rPr>
                <w:sz w:val="22"/>
                <w:szCs w:val="22"/>
              </w:rPr>
              <w:t xml:space="preserve">The </w:t>
            </w:r>
            <w:r w:rsidR="00D8498D">
              <w:rPr>
                <w:sz w:val="22"/>
                <w:szCs w:val="22"/>
              </w:rPr>
              <w:t xml:space="preserve">discussion of developers of “synthetic biology” to publish and discuss concepts and applications prior to the initiation of any work is problematic, because it does not take into account the scientific method or process. Concepts are very rarely realised in full because research and experimentation reveal limitations of the concept, or improvements relative to the initial concepts. Concerns regarding dual-use applications being used as a reason to limit lines of scientific enquiry does not take into account that only </w:t>
            </w:r>
            <w:r w:rsidR="0046410B">
              <w:rPr>
                <w:sz w:val="22"/>
                <w:szCs w:val="22"/>
              </w:rPr>
              <w:t>those willing to act in good faith would be bound by such restrictions. Openness regarding such research also allows concomitant lines of research on the prevention or mitigation of the effects of dual use applications of a technology, leading to better outcomes than suppression of independent lines of thought. Risk assessment and risk management methodologies would apply to the containment of such organisms and/or substances.</w:t>
            </w:r>
          </w:p>
        </w:tc>
      </w:tr>
      <w:tr w:rsidR="00213E39" w:rsidRPr="00C658CD" w14:paraId="2F146049" w14:textId="77777777" w:rsidTr="00213E39">
        <w:trPr>
          <w:cantSplit/>
          <w:trHeight w:val="233"/>
        </w:trPr>
        <w:tc>
          <w:tcPr>
            <w:tcW w:w="918" w:type="dxa"/>
          </w:tcPr>
          <w:p w14:paraId="1D1F4E63" w14:textId="77777777" w:rsidR="00213E39" w:rsidRPr="00C658CD" w:rsidRDefault="00213E39" w:rsidP="00213E39">
            <w:pPr>
              <w:rPr>
                <w:sz w:val="22"/>
                <w:szCs w:val="22"/>
              </w:rPr>
            </w:pPr>
          </w:p>
        </w:tc>
        <w:tc>
          <w:tcPr>
            <w:tcW w:w="1125" w:type="dxa"/>
          </w:tcPr>
          <w:p w14:paraId="550EE057" w14:textId="77777777" w:rsidR="00213E39" w:rsidRPr="00C658CD" w:rsidRDefault="00213E39" w:rsidP="00213E39">
            <w:pPr>
              <w:rPr>
                <w:sz w:val="22"/>
                <w:szCs w:val="22"/>
              </w:rPr>
            </w:pPr>
          </w:p>
        </w:tc>
        <w:tc>
          <w:tcPr>
            <w:tcW w:w="8145" w:type="dxa"/>
            <w:gridSpan w:val="2"/>
          </w:tcPr>
          <w:p w14:paraId="36C1422C" w14:textId="77777777" w:rsidR="00213E39" w:rsidRDefault="00213E39" w:rsidP="00213E39">
            <w:pPr>
              <w:rPr>
                <w:sz w:val="22"/>
                <w:szCs w:val="22"/>
              </w:rPr>
            </w:pPr>
            <w:r>
              <w:rPr>
                <w:sz w:val="22"/>
                <w:szCs w:val="22"/>
              </w:rPr>
              <w:t>Finally, despite the clear discussion of the potential environmental benefits in the main text of the document, the Executive Summary and Key Points appear to be rather skewed toward the discussion of risks and potential negative outcomes from synthetic biology. We do not think that this is reflective of the potential applications of Synthetic Biology and their concomitant benefits, and it would be helpful to see these sections of the document more accurately reflect the discussion in the main body of the text.</w:t>
            </w:r>
          </w:p>
        </w:tc>
      </w:tr>
      <w:tr w:rsidR="00213E39" w:rsidRPr="00C658CD" w14:paraId="7680AC22" w14:textId="77777777" w:rsidTr="00213E39">
        <w:trPr>
          <w:cantSplit/>
          <w:trHeight w:val="233"/>
        </w:trPr>
        <w:tc>
          <w:tcPr>
            <w:tcW w:w="918" w:type="dxa"/>
          </w:tcPr>
          <w:p w14:paraId="3BBEA33E" w14:textId="77777777" w:rsidR="00213E39" w:rsidRPr="00C658CD" w:rsidRDefault="00213E39" w:rsidP="00213E39">
            <w:pPr>
              <w:rPr>
                <w:sz w:val="22"/>
                <w:szCs w:val="22"/>
              </w:rPr>
            </w:pPr>
            <w:r>
              <w:rPr>
                <w:sz w:val="22"/>
                <w:szCs w:val="22"/>
              </w:rPr>
              <w:t>9</w:t>
            </w:r>
          </w:p>
        </w:tc>
        <w:tc>
          <w:tcPr>
            <w:tcW w:w="1125" w:type="dxa"/>
          </w:tcPr>
          <w:p w14:paraId="1B894962" w14:textId="77777777" w:rsidR="00213E39" w:rsidRPr="00C658CD" w:rsidRDefault="00213E39" w:rsidP="00213E39">
            <w:pPr>
              <w:rPr>
                <w:sz w:val="22"/>
                <w:szCs w:val="22"/>
              </w:rPr>
            </w:pPr>
            <w:r>
              <w:rPr>
                <w:sz w:val="22"/>
                <w:szCs w:val="22"/>
              </w:rPr>
              <w:t>40</w:t>
            </w:r>
          </w:p>
        </w:tc>
        <w:tc>
          <w:tcPr>
            <w:tcW w:w="8145" w:type="dxa"/>
            <w:gridSpan w:val="2"/>
          </w:tcPr>
          <w:p w14:paraId="7CD0EF7E" w14:textId="77777777" w:rsidR="00213E39" w:rsidRPr="00C658CD" w:rsidRDefault="00213E39" w:rsidP="00213E39">
            <w:pPr>
              <w:rPr>
                <w:sz w:val="22"/>
                <w:szCs w:val="22"/>
              </w:rPr>
            </w:pPr>
            <w:r>
              <w:rPr>
                <w:sz w:val="22"/>
                <w:szCs w:val="22"/>
              </w:rPr>
              <w:t>“of” should be “off”</w:t>
            </w:r>
          </w:p>
        </w:tc>
      </w:tr>
      <w:tr w:rsidR="00213E39" w:rsidRPr="00C658CD" w14:paraId="17E8195B" w14:textId="77777777" w:rsidTr="00213E39">
        <w:trPr>
          <w:cantSplit/>
          <w:trHeight w:val="233"/>
        </w:trPr>
        <w:tc>
          <w:tcPr>
            <w:tcW w:w="918" w:type="dxa"/>
          </w:tcPr>
          <w:p w14:paraId="41587BD4" w14:textId="77777777" w:rsidR="00213E39" w:rsidRDefault="00213E39" w:rsidP="00213E39">
            <w:pPr>
              <w:rPr>
                <w:sz w:val="22"/>
                <w:szCs w:val="22"/>
              </w:rPr>
            </w:pPr>
            <w:r>
              <w:rPr>
                <w:sz w:val="22"/>
                <w:szCs w:val="22"/>
              </w:rPr>
              <w:t>10</w:t>
            </w:r>
          </w:p>
        </w:tc>
        <w:tc>
          <w:tcPr>
            <w:tcW w:w="1125" w:type="dxa"/>
          </w:tcPr>
          <w:p w14:paraId="7A934802" w14:textId="77777777" w:rsidR="00213E39" w:rsidRDefault="00213E39" w:rsidP="00213E39">
            <w:pPr>
              <w:rPr>
                <w:sz w:val="22"/>
                <w:szCs w:val="22"/>
              </w:rPr>
            </w:pPr>
            <w:r>
              <w:rPr>
                <w:sz w:val="22"/>
                <w:szCs w:val="22"/>
              </w:rPr>
              <w:t>43</w:t>
            </w:r>
          </w:p>
        </w:tc>
        <w:tc>
          <w:tcPr>
            <w:tcW w:w="8145" w:type="dxa"/>
            <w:gridSpan w:val="2"/>
          </w:tcPr>
          <w:p w14:paraId="7F3E6650" w14:textId="77777777" w:rsidR="00213E39" w:rsidRDefault="00213E39" w:rsidP="00213E39">
            <w:pPr>
              <w:rPr>
                <w:sz w:val="22"/>
                <w:szCs w:val="22"/>
              </w:rPr>
            </w:pPr>
            <w:r>
              <w:rPr>
                <w:sz w:val="22"/>
                <w:szCs w:val="22"/>
              </w:rPr>
              <w:t>“organism” should be “organisms”</w:t>
            </w:r>
          </w:p>
        </w:tc>
      </w:tr>
      <w:tr w:rsidR="00213E39" w:rsidRPr="00B30682" w14:paraId="4D3856C9" w14:textId="77777777" w:rsidTr="00213E39">
        <w:trPr>
          <w:cantSplit/>
          <w:trHeight w:val="233"/>
        </w:trPr>
        <w:tc>
          <w:tcPr>
            <w:tcW w:w="918" w:type="dxa"/>
          </w:tcPr>
          <w:p w14:paraId="3E216923" w14:textId="77777777" w:rsidR="00213E39" w:rsidRPr="00C658CD" w:rsidRDefault="00213E39" w:rsidP="00213E39">
            <w:pPr>
              <w:rPr>
                <w:sz w:val="22"/>
                <w:szCs w:val="22"/>
              </w:rPr>
            </w:pPr>
            <w:r>
              <w:rPr>
                <w:sz w:val="22"/>
                <w:szCs w:val="22"/>
              </w:rPr>
              <w:t>10</w:t>
            </w:r>
          </w:p>
        </w:tc>
        <w:tc>
          <w:tcPr>
            <w:tcW w:w="1125" w:type="dxa"/>
          </w:tcPr>
          <w:p w14:paraId="22CB3C95" w14:textId="77777777" w:rsidR="00213E39" w:rsidRPr="00C658CD" w:rsidRDefault="00213E39" w:rsidP="00213E39">
            <w:pPr>
              <w:rPr>
                <w:sz w:val="22"/>
                <w:szCs w:val="22"/>
              </w:rPr>
            </w:pPr>
            <w:r>
              <w:rPr>
                <w:sz w:val="22"/>
                <w:szCs w:val="22"/>
              </w:rPr>
              <w:t>45</w:t>
            </w:r>
          </w:p>
        </w:tc>
        <w:tc>
          <w:tcPr>
            <w:tcW w:w="8145" w:type="dxa"/>
            <w:gridSpan w:val="2"/>
          </w:tcPr>
          <w:p w14:paraId="69DFE3F0" w14:textId="77777777" w:rsidR="00213E39" w:rsidRPr="00F86F63" w:rsidRDefault="00213E39" w:rsidP="00213E39">
            <w:pPr>
              <w:rPr>
                <w:sz w:val="22"/>
                <w:szCs w:val="22"/>
              </w:rPr>
            </w:pPr>
            <w:r>
              <w:rPr>
                <w:sz w:val="22"/>
                <w:szCs w:val="22"/>
              </w:rPr>
              <w:t>Full stop (period) at end of line needed</w:t>
            </w:r>
          </w:p>
        </w:tc>
      </w:tr>
      <w:tr w:rsidR="00213E39" w:rsidRPr="00AD22DE" w14:paraId="1667A91C" w14:textId="77777777" w:rsidTr="00213E39">
        <w:trPr>
          <w:cantSplit/>
          <w:trHeight w:val="233"/>
        </w:trPr>
        <w:tc>
          <w:tcPr>
            <w:tcW w:w="918" w:type="dxa"/>
          </w:tcPr>
          <w:p w14:paraId="05664CBE" w14:textId="77777777" w:rsidR="00213E39" w:rsidRPr="00F86F63" w:rsidRDefault="00213E39" w:rsidP="00213E39">
            <w:pPr>
              <w:rPr>
                <w:sz w:val="22"/>
                <w:szCs w:val="22"/>
              </w:rPr>
            </w:pPr>
            <w:r>
              <w:rPr>
                <w:sz w:val="22"/>
                <w:szCs w:val="22"/>
              </w:rPr>
              <w:t>11</w:t>
            </w:r>
          </w:p>
        </w:tc>
        <w:tc>
          <w:tcPr>
            <w:tcW w:w="1125" w:type="dxa"/>
          </w:tcPr>
          <w:p w14:paraId="409AC1D5" w14:textId="77777777" w:rsidR="00213E39" w:rsidRPr="00F86F63" w:rsidRDefault="00213E39" w:rsidP="00213E39">
            <w:pPr>
              <w:rPr>
                <w:sz w:val="22"/>
                <w:szCs w:val="22"/>
              </w:rPr>
            </w:pPr>
            <w:r>
              <w:rPr>
                <w:sz w:val="22"/>
                <w:szCs w:val="22"/>
              </w:rPr>
              <w:t>20</w:t>
            </w:r>
          </w:p>
        </w:tc>
        <w:tc>
          <w:tcPr>
            <w:tcW w:w="8145" w:type="dxa"/>
            <w:gridSpan w:val="2"/>
          </w:tcPr>
          <w:p w14:paraId="0C0AD3AF" w14:textId="77777777" w:rsidR="00213E39" w:rsidRPr="00F86F63" w:rsidRDefault="00213E39" w:rsidP="00213E39">
            <w:pPr>
              <w:rPr>
                <w:sz w:val="22"/>
                <w:szCs w:val="22"/>
              </w:rPr>
            </w:pPr>
            <w:r>
              <w:rPr>
                <w:sz w:val="22"/>
                <w:szCs w:val="22"/>
              </w:rPr>
              <w:t>“tropical”, not “topical”</w:t>
            </w:r>
          </w:p>
        </w:tc>
      </w:tr>
      <w:tr w:rsidR="00213E39" w:rsidRPr="00AD22DE" w14:paraId="1E21CF00" w14:textId="77777777" w:rsidTr="00213E39">
        <w:trPr>
          <w:cantSplit/>
          <w:trHeight w:val="233"/>
        </w:trPr>
        <w:tc>
          <w:tcPr>
            <w:tcW w:w="918" w:type="dxa"/>
          </w:tcPr>
          <w:p w14:paraId="21CF440E" w14:textId="77777777" w:rsidR="00213E39" w:rsidRPr="00F86F63" w:rsidRDefault="00213E39" w:rsidP="00213E39">
            <w:pPr>
              <w:rPr>
                <w:sz w:val="22"/>
                <w:szCs w:val="22"/>
              </w:rPr>
            </w:pPr>
            <w:r>
              <w:rPr>
                <w:sz w:val="22"/>
                <w:szCs w:val="22"/>
              </w:rPr>
              <w:t>12</w:t>
            </w:r>
          </w:p>
        </w:tc>
        <w:tc>
          <w:tcPr>
            <w:tcW w:w="1125" w:type="dxa"/>
          </w:tcPr>
          <w:p w14:paraId="27729F5C" w14:textId="77777777" w:rsidR="00213E39" w:rsidRPr="00F86F63" w:rsidRDefault="00213E39" w:rsidP="00213E39">
            <w:pPr>
              <w:rPr>
                <w:sz w:val="22"/>
                <w:szCs w:val="22"/>
              </w:rPr>
            </w:pPr>
            <w:r>
              <w:rPr>
                <w:sz w:val="22"/>
                <w:szCs w:val="22"/>
              </w:rPr>
              <w:t>23</w:t>
            </w:r>
          </w:p>
        </w:tc>
        <w:tc>
          <w:tcPr>
            <w:tcW w:w="8145" w:type="dxa"/>
            <w:gridSpan w:val="2"/>
          </w:tcPr>
          <w:p w14:paraId="735850D4" w14:textId="77777777" w:rsidR="00213E39" w:rsidRPr="00F86F63" w:rsidRDefault="00213E39" w:rsidP="00213E39">
            <w:pPr>
              <w:rPr>
                <w:sz w:val="22"/>
                <w:szCs w:val="22"/>
              </w:rPr>
            </w:pPr>
            <w:r>
              <w:rPr>
                <w:sz w:val="22"/>
                <w:szCs w:val="22"/>
              </w:rPr>
              <w:t>The entire line is a fragment, out of place with the rest of the paragraph</w:t>
            </w:r>
          </w:p>
        </w:tc>
      </w:tr>
      <w:tr w:rsidR="00213E39" w:rsidRPr="00AD22DE" w14:paraId="339715CA" w14:textId="77777777" w:rsidTr="00213E39">
        <w:trPr>
          <w:cantSplit/>
          <w:trHeight w:val="233"/>
        </w:trPr>
        <w:tc>
          <w:tcPr>
            <w:tcW w:w="918" w:type="dxa"/>
          </w:tcPr>
          <w:p w14:paraId="120F01C1" w14:textId="77777777" w:rsidR="00213E39" w:rsidRPr="00F86F63" w:rsidRDefault="00213E39" w:rsidP="00213E39">
            <w:pPr>
              <w:rPr>
                <w:sz w:val="22"/>
                <w:szCs w:val="22"/>
              </w:rPr>
            </w:pPr>
            <w:r>
              <w:rPr>
                <w:sz w:val="22"/>
                <w:szCs w:val="22"/>
              </w:rPr>
              <w:t>12</w:t>
            </w:r>
          </w:p>
        </w:tc>
        <w:tc>
          <w:tcPr>
            <w:tcW w:w="1125" w:type="dxa"/>
          </w:tcPr>
          <w:p w14:paraId="64C2F8EA" w14:textId="77777777" w:rsidR="00213E39" w:rsidRPr="00F86F63" w:rsidRDefault="00213E39" w:rsidP="00213E39">
            <w:pPr>
              <w:rPr>
                <w:sz w:val="22"/>
                <w:szCs w:val="22"/>
              </w:rPr>
            </w:pPr>
            <w:r>
              <w:rPr>
                <w:sz w:val="22"/>
                <w:szCs w:val="22"/>
              </w:rPr>
              <w:t>31</w:t>
            </w:r>
          </w:p>
        </w:tc>
        <w:tc>
          <w:tcPr>
            <w:tcW w:w="8145" w:type="dxa"/>
            <w:gridSpan w:val="2"/>
          </w:tcPr>
          <w:p w14:paraId="26D424DE" w14:textId="77777777" w:rsidR="00213E39" w:rsidRPr="00F86F63" w:rsidRDefault="00213E39" w:rsidP="00213E39">
            <w:pPr>
              <w:rPr>
                <w:sz w:val="22"/>
                <w:szCs w:val="22"/>
              </w:rPr>
            </w:pPr>
            <w:r>
              <w:rPr>
                <w:sz w:val="22"/>
                <w:szCs w:val="22"/>
              </w:rPr>
              <w:t>“humanities” should be “humanity’s”</w:t>
            </w:r>
          </w:p>
        </w:tc>
      </w:tr>
      <w:tr w:rsidR="00213E39" w:rsidRPr="00AD22DE" w14:paraId="6F929B6C" w14:textId="77777777" w:rsidTr="00213E39">
        <w:trPr>
          <w:cantSplit/>
          <w:trHeight w:val="233"/>
        </w:trPr>
        <w:tc>
          <w:tcPr>
            <w:tcW w:w="918" w:type="dxa"/>
          </w:tcPr>
          <w:p w14:paraId="462BC89D" w14:textId="77777777" w:rsidR="00213E39" w:rsidRPr="00F86F63" w:rsidRDefault="00213E39" w:rsidP="00213E39">
            <w:pPr>
              <w:rPr>
                <w:sz w:val="22"/>
                <w:szCs w:val="22"/>
              </w:rPr>
            </w:pPr>
            <w:r>
              <w:rPr>
                <w:sz w:val="22"/>
                <w:szCs w:val="22"/>
              </w:rPr>
              <w:t>12</w:t>
            </w:r>
          </w:p>
        </w:tc>
        <w:tc>
          <w:tcPr>
            <w:tcW w:w="1125" w:type="dxa"/>
          </w:tcPr>
          <w:p w14:paraId="18BC0DE6" w14:textId="77777777" w:rsidR="00213E39" w:rsidRPr="00F86F63" w:rsidRDefault="00213E39" w:rsidP="00213E39">
            <w:pPr>
              <w:rPr>
                <w:sz w:val="22"/>
                <w:szCs w:val="22"/>
              </w:rPr>
            </w:pPr>
            <w:r>
              <w:rPr>
                <w:sz w:val="22"/>
                <w:szCs w:val="22"/>
              </w:rPr>
              <w:t>41</w:t>
            </w:r>
          </w:p>
        </w:tc>
        <w:tc>
          <w:tcPr>
            <w:tcW w:w="8145" w:type="dxa"/>
            <w:gridSpan w:val="2"/>
          </w:tcPr>
          <w:p w14:paraId="016DE263" w14:textId="77777777" w:rsidR="00213E39" w:rsidRPr="00F86F63" w:rsidRDefault="00213E39" w:rsidP="00213E39">
            <w:pPr>
              <w:rPr>
                <w:sz w:val="22"/>
                <w:szCs w:val="22"/>
              </w:rPr>
            </w:pPr>
            <w:r>
              <w:rPr>
                <w:sz w:val="22"/>
                <w:szCs w:val="22"/>
              </w:rPr>
              <w:t>“cope-up” should be “keep up”</w:t>
            </w:r>
          </w:p>
        </w:tc>
      </w:tr>
      <w:tr w:rsidR="00213E39" w:rsidRPr="00AD22DE" w14:paraId="74D64D85" w14:textId="77777777" w:rsidTr="00213E39">
        <w:trPr>
          <w:cantSplit/>
          <w:trHeight w:val="233"/>
        </w:trPr>
        <w:tc>
          <w:tcPr>
            <w:tcW w:w="918" w:type="dxa"/>
          </w:tcPr>
          <w:p w14:paraId="6661658F" w14:textId="77777777" w:rsidR="00213E39" w:rsidRPr="00F86F63" w:rsidRDefault="00213E39" w:rsidP="00213E39">
            <w:pPr>
              <w:rPr>
                <w:sz w:val="22"/>
                <w:szCs w:val="22"/>
              </w:rPr>
            </w:pPr>
            <w:r>
              <w:rPr>
                <w:sz w:val="22"/>
                <w:szCs w:val="22"/>
              </w:rPr>
              <w:t>17</w:t>
            </w:r>
          </w:p>
        </w:tc>
        <w:tc>
          <w:tcPr>
            <w:tcW w:w="1125" w:type="dxa"/>
          </w:tcPr>
          <w:p w14:paraId="418216E9" w14:textId="77777777" w:rsidR="00213E39" w:rsidRPr="00F86F63" w:rsidRDefault="00213E39" w:rsidP="00213E39">
            <w:pPr>
              <w:rPr>
                <w:sz w:val="22"/>
                <w:szCs w:val="22"/>
              </w:rPr>
            </w:pPr>
            <w:r>
              <w:rPr>
                <w:sz w:val="22"/>
                <w:szCs w:val="22"/>
              </w:rPr>
              <w:t>45</w:t>
            </w:r>
          </w:p>
        </w:tc>
        <w:tc>
          <w:tcPr>
            <w:tcW w:w="8145" w:type="dxa"/>
            <w:gridSpan w:val="2"/>
          </w:tcPr>
          <w:p w14:paraId="36B5BB11" w14:textId="77777777" w:rsidR="00213E39" w:rsidRPr="00F86F63" w:rsidRDefault="00213E39" w:rsidP="00213E39">
            <w:pPr>
              <w:rPr>
                <w:sz w:val="22"/>
                <w:szCs w:val="22"/>
              </w:rPr>
            </w:pPr>
            <w:r>
              <w:rPr>
                <w:sz w:val="22"/>
                <w:szCs w:val="22"/>
              </w:rPr>
              <w:t>“synthetised” should be “synthesised”</w:t>
            </w:r>
          </w:p>
        </w:tc>
      </w:tr>
      <w:tr w:rsidR="0046410B" w:rsidRPr="00AD22DE" w14:paraId="0A91B37A" w14:textId="77777777" w:rsidTr="00213E39">
        <w:trPr>
          <w:cantSplit/>
          <w:trHeight w:val="233"/>
        </w:trPr>
        <w:tc>
          <w:tcPr>
            <w:tcW w:w="918" w:type="dxa"/>
          </w:tcPr>
          <w:p w14:paraId="0AB7F7F4" w14:textId="7B298789" w:rsidR="0046410B" w:rsidRDefault="0046410B" w:rsidP="00213E39">
            <w:pPr>
              <w:rPr>
                <w:sz w:val="22"/>
                <w:szCs w:val="22"/>
              </w:rPr>
            </w:pPr>
            <w:r>
              <w:rPr>
                <w:sz w:val="22"/>
                <w:szCs w:val="22"/>
              </w:rPr>
              <w:t>21</w:t>
            </w:r>
          </w:p>
        </w:tc>
        <w:tc>
          <w:tcPr>
            <w:tcW w:w="1125" w:type="dxa"/>
          </w:tcPr>
          <w:p w14:paraId="4EAFFC58" w14:textId="0341803E" w:rsidR="0046410B" w:rsidRDefault="0046410B" w:rsidP="00213E39">
            <w:pPr>
              <w:rPr>
                <w:sz w:val="22"/>
                <w:szCs w:val="22"/>
              </w:rPr>
            </w:pPr>
            <w:r>
              <w:rPr>
                <w:sz w:val="22"/>
                <w:szCs w:val="22"/>
              </w:rPr>
              <w:t>7</w:t>
            </w:r>
          </w:p>
        </w:tc>
        <w:tc>
          <w:tcPr>
            <w:tcW w:w="8145" w:type="dxa"/>
            <w:gridSpan w:val="2"/>
          </w:tcPr>
          <w:p w14:paraId="5070985B" w14:textId="165DF401" w:rsidR="0046410B" w:rsidRDefault="0046410B" w:rsidP="00213E39">
            <w:pPr>
              <w:rPr>
                <w:sz w:val="22"/>
                <w:szCs w:val="22"/>
              </w:rPr>
            </w:pPr>
            <w:r>
              <w:rPr>
                <w:sz w:val="22"/>
                <w:szCs w:val="22"/>
              </w:rPr>
              <w:t>“titter” should be “titre”</w:t>
            </w:r>
          </w:p>
        </w:tc>
      </w:tr>
      <w:tr w:rsidR="00213E39" w:rsidRPr="00AD22DE" w14:paraId="07BD05D9" w14:textId="77777777" w:rsidTr="00213E39">
        <w:trPr>
          <w:cantSplit/>
          <w:trHeight w:val="233"/>
        </w:trPr>
        <w:tc>
          <w:tcPr>
            <w:tcW w:w="918" w:type="dxa"/>
          </w:tcPr>
          <w:p w14:paraId="5C68D90E" w14:textId="77777777" w:rsidR="00213E39" w:rsidRPr="00F86F63" w:rsidRDefault="00213E39" w:rsidP="00213E39">
            <w:pPr>
              <w:rPr>
                <w:sz w:val="22"/>
                <w:szCs w:val="22"/>
              </w:rPr>
            </w:pPr>
            <w:r>
              <w:rPr>
                <w:sz w:val="22"/>
                <w:szCs w:val="22"/>
              </w:rPr>
              <w:t>33</w:t>
            </w:r>
          </w:p>
        </w:tc>
        <w:tc>
          <w:tcPr>
            <w:tcW w:w="1125" w:type="dxa"/>
          </w:tcPr>
          <w:p w14:paraId="3D5BE419" w14:textId="77777777" w:rsidR="00213E39" w:rsidRPr="00F86F63" w:rsidRDefault="00213E39" w:rsidP="00213E39">
            <w:pPr>
              <w:rPr>
                <w:sz w:val="22"/>
                <w:szCs w:val="22"/>
              </w:rPr>
            </w:pPr>
            <w:r>
              <w:rPr>
                <w:sz w:val="22"/>
                <w:szCs w:val="22"/>
              </w:rPr>
              <w:t>31</w:t>
            </w:r>
          </w:p>
        </w:tc>
        <w:tc>
          <w:tcPr>
            <w:tcW w:w="8145" w:type="dxa"/>
            <w:gridSpan w:val="2"/>
          </w:tcPr>
          <w:p w14:paraId="094A7026" w14:textId="77777777" w:rsidR="00213E39" w:rsidRPr="00C53842" w:rsidRDefault="00213E39" w:rsidP="00213E39">
            <w:pPr>
              <w:rPr>
                <w:i/>
                <w:iCs/>
                <w:sz w:val="22"/>
                <w:szCs w:val="22"/>
              </w:rPr>
            </w:pPr>
            <w:r>
              <w:rPr>
                <w:sz w:val="22"/>
                <w:szCs w:val="22"/>
              </w:rPr>
              <w:t>“</w:t>
            </w:r>
            <w:proofErr w:type="spellStart"/>
            <w:r>
              <w:rPr>
                <w:i/>
                <w:iCs/>
                <w:sz w:val="22"/>
                <w:szCs w:val="22"/>
              </w:rPr>
              <w:t>Arabisopsis</w:t>
            </w:r>
            <w:proofErr w:type="spellEnd"/>
            <w:r>
              <w:rPr>
                <w:i/>
                <w:iCs/>
                <w:sz w:val="22"/>
                <w:szCs w:val="22"/>
              </w:rPr>
              <w:t>”</w:t>
            </w:r>
            <w:r>
              <w:rPr>
                <w:sz w:val="22"/>
                <w:szCs w:val="22"/>
              </w:rPr>
              <w:t xml:space="preserve"> should be “</w:t>
            </w:r>
            <w:r>
              <w:rPr>
                <w:i/>
                <w:iCs/>
                <w:sz w:val="22"/>
                <w:szCs w:val="22"/>
              </w:rPr>
              <w:t>Arabidopsis”</w:t>
            </w:r>
          </w:p>
        </w:tc>
      </w:tr>
      <w:tr w:rsidR="00213E39" w:rsidRPr="00AD22DE" w14:paraId="3CD83856" w14:textId="77777777" w:rsidTr="00213E39">
        <w:trPr>
          <w:cantSplit/>
          <w:trHeight w:val="233"/>
        </w:trPr>
        <w:tc>
          <w:tcPr>
            <w:tcW w:w="918" w:type="dxa"/>
          </w:tcPr>
          <w:p w14:paraId="79961777" w14:textId="77777777" w:rsidR="00213E39" w:rsidRPr="00F86F63" w:rsidRDefault="00213E39" w:rsidP="00213E39">
            <w:pPr>
              <w:rPr>
                <w:sz w:val="22"/>
                <w:szCs w:val="22"/>
              </w:rPr>
            </w:pPr>
            <w:r>
              <w:rPr>
                <w:sz w:val="22"/>
                <w:szCs w:val="22"/>
              </w:rPr>
              <w:t>36</w:t>
            </w:r>
          </w:p>
        </w:tc>
        <w:tc>
          <w:tcPr>
            <w:tcW w:w="1125" w:type="dxa"/>
          </w:tcPr>
          <w:p w14:paraId="0E0F34EF" w14:textId="77777777" w:rsidR="00213E39" w:rsidRPr="00F86F63" w:rsidRDefault="00213E39" w:rsidP="00213E39">
            <w:pPr>
              <w:rPr>
                <w:sz w:val="22"/>
                <w:szCs w:val="22"/>
              </w:rPr>
            </w:pPr>
            <w:r>
              <w:rPr>
                <w:sz w:val="22"/>
                <w:szCs w:val="22"/>
              </w:rPr>
              <w:t>5</w:t>
            </w:r>
          </w:p>
        </w:tc>
        <w:tc>
          <w:tcPr>
            <w:tcW w:w="8145" w:type="dxa"/>
            <w:gridSpan w:val="2"/>
          </w:tcPr>
          <w:p w14:paraId="786E5C4F" w14:textId="77777777" w:rsidR="00213E39" w:rsidRPr="00F86F63" w:rsidRDefault="00213E39" w:rsidP="00213E39">
            <w:pPr>
              <w:rPr>
                <w:sz w:val="22"/>
                <w:szCs w:val="22"/>
              </w:rPr>
            </w:pPr>
            <w:r>
              <w:rPr>
                <w:sz w:val="22"/>
                <w:szCs w:val="22"/>
              </w:rPr>
              <w:t>“</w:t>
            </w:r>
            <w:proofErr w:type="spellStart"/>
            <w:r>
              <w:rPr>
                <w:sz w:val="22"/>
                <w:szCs w:val="22"/>
              </w:rPr>
              <w:t>tomelting</w:t>
            </w:r>
            <w:proofErr w:type="spellEnd"/>
            <w:r>
              <w:rPr>
                <w:sz w:val="22"/>
                <w:szCs w:val="22"/>
              </w:rPr>
              <w:t>” should be “to melting”</w:t>
            </w:r>
          </w:p>
        </w:tc>
      </w:tr>
    </w:tbl>
    <w:p w14:paraId="26EA7AB3" w14:textId="77777777" w:rsidR="00D97576" w:rsidRPr="00C658CD" w:rsidRDefault="00D97576" w:rsidP="00593BC6">
      <w:pPr>
        <w:pStyle w:val="Header"/>
        <w:jc w:val="center"/>
        <w:rPr>
          <w:rFonts w:ascii="Times New Roman Bold" w:hAnsi="Times New Roman Bold"/>
          <w:b/>
          <w:caps/>
          <w:sz w:val="22"/>
          <w:szCs w:val="22"/>
        </w:rPr>
      </w:pPr>
    </w:p>
    <w:p w14:paraId="0E955578" w14:textId="77777777" w:rsidR="00593BC6" w:rsidRDefault="00593BC6" w:rsidP="00593BC6">
      <w:pPr>
        <w:tabs>
          <w:tab w:val="left" w:pos="7020"/>
        </w:tabs>
        <w:ind w:right="44"/>
        <w:jc w:val="both"/>
        <w:rPr>
          <w:szCs w:val="22"/>
        </w:rPr>
      </w:pPr>
    </w:p>
    <w:p w14:paraId="11FCA427" w14:textId="77777777" w:rsidR="00593BC6" w:rsidRDefault="00593BC6" w:rsidP="00593BC6">
      <w:pPr>
        <w:tabs>
          <w:tab w:val="left" w:pos="7020"/>
        </w:tabs>
        <w:ind w:right="44"/>
        <w:jc w:val="both"/>
        <w:rPr>
          <w:szCs w:val="22"/>
        </w:rPr>
      </w:pPr>
    </w:p>
    <w:p w14:paraId="2432318E" w14:textId="1E7BC26A" w:rsidR="004D6145" w:rsidRPr="00593BC6" w:rsidRDefault="00593BC6" w:rsidP="004B6042">
      <w:pPr>
        <w:pStyle w:val="Footer"/>
        <w:jc w:val="center"/>
        <w:rPr>
          <w:lang w:val="en-CA"/>
        </w:rPr>
      </w:pPr>
      <w:r w:rsidRPr="00C658CD">
        <w:rPr>
          <w:sz w:val="22"/>
          <w:szCs w:val="22"/>
          <w:lang w:val="en-CA"/>
        </w:rPr>
        <w:t xml:space="preserve">Please submit your comments to </w:t>
      </w:r>
      <w:hyperlink r:id="rId6" w:history="1">
        <w:r w:rsidRPr="00C658CD">
          <w:rPr>
            <w:rStyle w:val="Hyperlink"/>
            <w:sz w:val="22"/>
            <w:szCs w:val="22"/>
            <w:lang w:val="en-CA"/>
          </w:rPr>
          <w:t>secretariat@cbd.int</w:t>
        </w:r>
      </w:hyperlink>
      <w:r w:rsidRPr="00C658CD">
        <w:rPr>
          <w:sz w:val="22"/>
          <w:szCs w:val="22"/>
          <w:lang w:val="en-CA"/>
        </w:rPr>
        <w:t>.</w:t>
      </w:r>
    </w:p>
    <w:sectPr w:rsidR="004D6145" w:rsidRPr="00593BC6" w:rsidSect="00EA105F">
      <w:headerReference w:type="first" r:id="rId7"/>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1650" w14:textId="77777777" w:rsidR="005922A4" w:rsidRDefault="005922A4" w:rsidP="00593BC6">
      <w:r>
        <w:separator/>
      </w:r>
    </w:p>
  </w:endnote>
  <w:endnote w:type="continuationSeparator" w:id="0">
    <w:p w14:paraId="263226DC" w14:textId="77777777" w:rsidR="005922A4" w:rsidRDefault="005922A4"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91DC3" w14:textId="77777777" w:rsidR="005922A4" w:rsidRDefault="005922A4" w:rsidP="00593BC6">
      <w:r>
        <w:separator/>
      </w:r>
    </w:p>
  </w:footnote>
  <w:footnote w:type="continuationSeparator" w:id="0">
    <w:p w14:paraId="25B286B6" w14:textId="77777777" w:rsidR="005922A4" w:rsidRDefault="005922A4" w:rsidP="005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1991" w14:textId="77777777" w:rsidR="00EA105F" w:rsidRDefault="00EA105F" w:rsidP="00EA105F">
    <w:pPr>
      <w:pStyle w:val="Header"/>
      <w:tabs>
        <w:tab w:val="clear" w:pos="8640"/>
        <w:tab w:val="right" w:pos="10260"/>
      </w:tabs>
      <w:spacing w:line="480" w:lineRule="auto"/>
      <w:ind w:left="-1260" w:right="-856"/>
      <w:jc w:val="center"/>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C6"/>
    <w:rsid w:val="00054613"/>
    <w:rsid w:val="00082002"/>
    <w:rsid w:val="00091F4D"/>
    <w:rsid w:val="000A54FC"/>
    <w:rsid w:val="000E2E07"/>
    <w:rsid w:val="00135D96"/>
    <w:rsid w:val="00213E39"/>
    <w:rsid w:val="0024383F"/>
    <w:rsid w:val="00293F84"/>
    <w:rsid w:val="0032155A"/>
    <w:rsid w:val="00363EF2"/>
    <w:rsid w:val="003925B2"/>
    <w:rsid w:val="00393449"/>
    <w:rsid w:val="003C5737"/>
    <w:rsid w:val="00416956"/>
    <w:rsid w:val="00430349"/>
    <w:rsid w:val="0046410B"/>
    <w:rsid w:val="00493088"/>
    <w:rsid w:val="004B6042"/>
    <w:rsid w:val="004D6145"/>
    <w:rsid w:val="004E426F"/>
    <w:rsid w:val="00524BE0"/>
    <w:rsid w:val="005411E6"/>
    <w:rsid w:val="005922A4"/>
    <w:rsid w:val="00593BC6"/>
    <w:rsid w:val="00594E31"/>
    <w:rsid w:val="005C4C24"/>
    <w:rsid w:val="00652D1D"/>
    <w:rsid w:val="00735FF1"/>
    <w:rsid w:val="00780EC4"/>
    <w:rsid w:val="007D2BE9"/>
    <w:rsid w:val="00854B69"/>
    <w:rsid w:val="00872EB7"/>
    <w:rsid w:val="008A45A3"/>
    <w:rsid w:val="008C05B8"/>
    <w:rsid w:val="00901285"/>
    <w:rsid w:val="00991F51"/>
    <w:rsid w:val="00A05BE6"/>
    <w:rsid w:val="00A545C6"/>
    <w:rsid w:val="00AB347C"/>
    <w:rsid w:val="00AD22DE"/>
    <w:rsid w:val="00B30682"/>
    <w:rsid w:val="00B373CC"/>
    <w:rsid w:val="00B662B0"/>
    <w:rsid w:val="00BB14D8"/>
    <w:rsid w:val="00BC463A"/>
    <w:rsid w:val="00BD5D26"/>
    <w:rsid w:val="00C218F1"/>
    <w:rsid w:val="00C26C6B"/>
    <w:rsid w:val="00C33566"/>
    <w:rsid w:val="00C53842"/>
    <w:rsid w:val="00C61FD5"/>
    <w:rsid w:val="00CF62A5"/>
    <w:rsid w:val="00D60758"/>
    <w:rsid w:val="00D8498D"/>
    <w:rsid w:val="00D97576"/>
    <w:rsid w:val="00DD4F55"/>
    <w:rsid w:val="00E227B2"/>
    <w:rsid w:val="00EA105F"/>
    <w:rsid w:val="00EC78CF"/>
    <w:rsid w:val="00F62F36"/>
    <w:rsid w:val="00F73C17"/>
    <w:rsid w:val="00F754C0"/>
    <w:rsid w:val="00F8658F"/>
    <w:rsid w:val="00F86F63"/>
    <w:rsid w:val="00F94D0C"/>
    <w:rsid w:val="00FB07C1"/>
    <w:rsid w:val="00FB1BA9"/>
    <w:rsid w:val="00FD0738"/>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cbd.i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5258</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GALVIN, Liese (PAR)</cp:lastModifiedBy>
  <cp:revision>2</cp:revision>
  <dcterms:created xsi:type="dcterms:W3CDTF">2021-07-07T04:12:00Z</dcterms:created>
  <dcterms:modified xsi:type="dcterms:W3CDTF">2021-07-07T04:12:00Z</dcterms:modified>
</cp:coreProperties>
</file>