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CA10" w14:textId="5E767C34"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01BF9161" w14:textId="77777777" w:rsidR="000E5FC2" w:rsidRDefault="000E5FC2" w:rsidP="000E5FC2">
      <w:pPr>
        <w:pStyle w:val="Header"/>
        <w:jc w:val="center"/>
        <w:rPr>
          <w:rFonts w:ascii="Times New Roman Bold" w:hAnsi="Times New Roman Bold"/>
          <w:b/>
          <w:caps/>
          <w:sz w:val="22"/>
          <w:szCs w:val="22"/>
        </w:rPr>
      </w:pPr>
      <w:r>
        <w:rPr>
          <w:rFonts w:ascii="Times New Roman Bold" w:hAnsi="Times New Roman Bold"/>
          <w:b/>
          <w:caps/>
          <w:sz w:val="22"/>
          <w:szCs w:val="22"/>
        </w:rPr>
        <w:t xml:space="preserve">Peer Review </w:t>
      </w:r>
    </w:p>
    <w:p w14:paraId="4DA7123D" w14:textId="240316CC" w:rsidR="000E5FC2" w:rsidRDefault="000E5FC2" w:rsidP="000E5FC2">
      <w:pPr>
        <w:pStyle w:val="Header"/>
        <w:jc w:val="center"/>
        <w:rPr>
          <w:rFonts w:ascii="Times New Roman Bold" w:hAnsi="Times New Roman Bold"/>
          <w:b/>
          <w:caps/>
          <w:sz w:val="22"/>
          <w:szCs w:val="22"/>
        </w:rPr>
      </w:pPr>
      <w:r>
        <w:rPr>
          <w:rFonts w:ascii="Times New Roman Bold" w:hAnsi="Times New Roman Bold"/>
          <w:b/>
          <w:caps/>
          <w:sz w:val="22"/>
          <w:szCs w:val="22"/>
        </w:rPr>
        <w:t xml:space="preserve">European commission </w:t>
      </w:r>
      <w:r w:rsidRPr="00C658CD">
        <w:rPr>
          <w:rFonts w:ascii="Times New Roman Bold" w:hAnsi="Times New Roman Bold"/>
          <w:b/>
          <w:caps/>
          <w:sz w:val="22"/>
          <w:szCs w:val="22"/>
        </w:rPr>
        <w:t xml:space="preserve">comments </w:t>
      </w:r>
    </w:p>
    <w:p w14:paraId="26EA7AB3" w14:textId="373DD4CC" w:rsidR="00D97576" w:rsidRPr="00C658CD" w:rsidRDefault="0001740E" w:rsidP="0001740E">
      <w:pPr>
        <w:pStyle w:val="Header"/>
        <w:tabs>
          <w:tab w:val="clear" w:pos="4320"/>
          <w:tab w:val="clear" w:pos="8640"/>
          <w:tab w:val="center" w:pos="4702"/>
        </w:tabs>
        <w:rPr>
          <w:rFonts w:ascii="Times New Roman Bold" w:hAnsi="Times New Roman Bold"/>
          <w:b/>
          <w:caps/>
          <w:sz w:val="22"/>
          <w:szCs w:val="22"/>
        </w:rPr>
      </w:pPr>
      <w:r>
        <w:rPr>
          <w:rFonts w:ascii="Times New Roman Bold" w:hAnsi="Times New Roman Bold"/>
          <w:b/>
          <w:caps/>
          <w:sz w:val="22"/>
          <w:szCs w:val="22"/>
        </w:rPr>
        <w:tab/>
        <w:t>July 2021</w:t>
      </w:r>
      <w:bookmarkStart w:id="0" w:name="_GoBack"/>
      <w:bookmarkEnd w:id="0"/>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255"/>
        <w:gridCol w:w="103"/>
        <w:gridCol w:w="7922"/>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705ECC" w14:paraId="399E2057" w14:textId="77777777" w:rsidTr="00307697">
        <w:trPr>
          <w:cantSplit/>
          <w:trHeight w:val="270"/>
        </w:trPr>
        <w:tc>
          <w:tcPr>
            <w:tcW w:w="2266"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7922" w:type="dxa"/>
          </w:tcPr>
          <w:p w14:paraId="4EA89E76" w14:textId="77777777" w:rsidR="00FD2A9F" w:rsidRDefault="00FD2A9F" w:rsidP="00804F3C">
            <w:pPr>
              <w:pStyle w:val="ListParagraph"/>
              <w:numPr>
                <w:ilvl w:val="0"/>
                <w:numId w:val="1"/>
              </w:numPr>
              <w:rPr>
                <w:sz w:val="22"/>
                <w:szCs w:val="22"/>
              </w:rPr>
            </w:pPr>
            <w:r>
              <w:rPr>
                <w:sz w:val="22"/>
                <w:szCs w:val="22"/>
              </w:rPr>
              <w:t>Anastasia Pagida</w:t>
            </w:r>
          </w:p>
          <w:p w14:paraId="3AB47FF8" w14:textId="74123375" w:rsidR="00FD2A9F" w:rsidRPr="00856D95" w:rsidRDefault="00FD2A9F" w:rsidP="001A11C0">
            <w:pPr>
              <w:pStyle w:val="ListParagraph"/>
              <w:numPr>
                <w:ilvl w:val="0"/>
                <w:numId w:val="1"/>
              </w:numPr>
              <w:rPr>
                <w:sz w:val="22"/>
                <w:szCs w:val="22"/>
              </w:rPr>
            </w:pPr>
            <w:r>
              <w:rPr>
                <w:sz w:val="22"/>
                <w:szCs w:val="22"/>
              </w:rPr>
              <w:t>Thomas Weber</w:t>
            </w:r>
          </w:p>
        </w:tc>
      </w:tr>
      <w:tr w:rsidR="00593BC6" w:rsidRPr="00705ECC" w14:paraId="2D70246E" w14:textId="77777777" w:rsidTr="00307697">
        <w:trPr>
          <w:cantSplit/>
          <w:trHeight w:val="280"/>
        </w:trPr>
        <w:tc>
          <w:tcPr>
            <w:tcW w:w="2266" w:type="dxa"/>
            <w:gridSpan w:val="3"/>
          </w:tcPr>
          <w:p w14:paraId="024B7BE1" w14:textId="77777777" w:rsidR="00593BC6" w:rsidRPr="00705ECC" w:rsidRDefault="00593BC6" w:rsidP="00EA105F">
            <w:pPr>
              <w:rPr>
                <w:b/>
                <w:sz w:val="22"/>
                <w:szCs w:val="22"/>
              </w:rPr>
            </w:pPr>
          </w:p>
        </w:tc>
        <w:tc>
          <w:tcPr>
            <w:tcW w:w="7922" w:type="dxa"/>
          </w:tcPr>
          <w:p w14:paraId="24DC2B26" w14:textId="77777777" w:rsidR="00593BC6" w:rsidRPr="00705ECC" w:rsidRDefault="00593BC6" w:rsidP="00EA105F">
            <w:pPr>
              <w:rPr>
                <w:sz w:val="22"/>
                <w:szCs w:val="22"/>
              </w:rPr>
            </w:pPr>
          </w:p>
        </w:tc>
      </w:tr>
      <w:tr w:rsidR="00593BC6" w:rsidRPr="00C658CD" w14:paraId="6960F46D" w14:textId="77777777" w:rsidTr="00307697">
        <w:trPr>
          <w:cantSplit/>
          <w:trHeight w:val="270"/>
        </w:trPr>
        <w:tc>
          <w:tcPr>
            <w:tcW w:w="2266"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7922" w:type="dxa"/>
          </w:tcPr>
          <w:p w14:paraId="1F1AFCCD" w14:textId="77777777" w:rsidR="00593BC6" w:rsidRPr="00C658CD" w:rsidRDefault="00593BC6" w:rsidP="00EA105F">
            <w:pPr>
              <w:rPr>
                <w:sz w:val="22"/>
                <w:szCs w:val="22"/>
              </w:rPr>
            </w:pPr>
          </w:p>
        </w:tc>
      </w:tr>
      <w:tr w:rsidR="00593BC6" w:rsidRPr="00C658CD" w14:paraId="4D0E31D1" w14:textId="77777777" w:rsidTr="00307697">
        <w:trPr>
          <w:cantSplit/>
          <w:trHeight w:val="280"/>
        </w:trPr>
        <w:tc>
          <w:tcPr>
            <w:tcW w:w="2266" w:type="dxa"/>
            <w:gridSpan w:val="3"/>
          </w:tcPr>
          <w:p w14:paraId="478DDD07" w14:textId="77777777" w:rsidR="00593BC6" w:rsidRPr="00C658CD" w:rsidRDefault="00593BC6" w:rsidP="00EA105F">
            <w:pPr>
              <w:rPr>
                <w:b/>
                <w:sz w:val="22"/>
                <w:szCs w:val="22"/>
              </w:rPr>
            </w:pPr>
          </w:p>
        </w:tc>
        <w:tc>
          <w:tcPr>
            <w:tcW w:w="7922" w:type="dxa"/>
          </w:tcPr>
          <w:p w14:paraId="286530CF" w14:textId="77777777" w:rsidR="00593BC6" w:rsidRPr="00C658CD" w:rsidRDefault="00593BC6" w:rsidP="00EA105F">
            <w:pPr>
              <w:rPr>
                <w:sz w:val="22"/>
                <w:szCs w:val="22"/>
              </w:rPr>
            </w:pPr>
          </w:p>
        </w:tc>
      </w:tr>
      <w:tr w:rsidR="00593BC6" w:rsidRPr="00FF1A2A" w14:paraId="1C3067B8" w14:textId="77777777" w:rsidTr="00307697">
        <w:trPr>
          <w:cantSplit/>
          <w:trHeight w:val="270"/>
        </w:trPr>
        <w:tc>
          <w:tcPr>
            <w:tcW w:w="2266"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7922" w:type="dxa"/>
          </w:tcPr>
          <w:p w14:paraId="119BAC5F" w14:textId="77777777" w:rsidR="00593BC6" w:rsidRPr="00F86F63" w:rsidRDefault="00593BC6" w:rsidP="00EA105F">
            <w:pPr>
              <w:rPr>
                <w:sz w:val="22"/>
                <w:szCs w:val="22"/>
              </w:rPr>
            </w:pPr>
          </w:p>
        </w:tc>
      </w:tr>
      <w:tr w:rsidR="00593BC6" w:rsidRPr="00C658CD" w14:paraId="590623FC" w14:textId="77777777" w:rsidTr="00307697">
        <w:trPr>
          <w:cantSplit/>
          <w:trHeight w:val="280"/>
        </w:trPr>
        <w:tc>
          <w:tcPr>
            <w:tcW w:w="2266"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7922" w:type="dxa"/>
          </w:tcPr>
          <w:p w14:paraId="2CA88BC1" w14:textId="77777777" w:rsidR="00593BC6" w:rsidRPr="00C658CD" w:rsidRDefault="00593BC6" w:rsidP="00EA105F">
            <w:pPr>
              <w:rPr>
                <w:sz w:val="22"/>
                <w:szCs w:val="22"/>
              </w:rPr>
            </w:pPr>
          </w:p>
        </w:tc>
      </w:tr>
      <w:tr w:rsidR="00593BC6" w:rsidRPr="00C658CD" w14:paraId="131D5B27" w14:textId="77777777" w:rsidTr="00307697">
        <w:trPr>
          <w:cantSplit/>
          <w:trHeight w:val="270"/>
        </w:trPr>
        <w:tc>
          <w:tcPr>
            <w:tcW w:w="2266" w:type="dxa"/>
            <w:gridSpan w:val="3"/>
          </w:tcPr>
          <w:p w14:paraId="5B9F4F37" w14:textId="77777777" w:rsidR="00593BC6" w:rsidRPr="00C658CD" w:rsidRDefault="00593BC6" w:rsidP="00EA105F">
            <w:pPr>
              <w:rPr>
                <w:b/>
                <w:sz w:val="22"/>
                <w:szCs w:val="22"/>
              </w:rPr>
            </w:pPr>
          </w:p>
        </w:tc>
        <w:tc>
          <w:tcPr>
            <w:tcW w:w="7922" w:type="dxa"/>
          </w:tcPr>
          <w:p w14:paraId="09AED490" w14:textId="77777777" w:rsidR="00593BC6" w:rsidRPr="00C658CD" w:rsidRDefault="00593BC6" w:rsidP="00EA105F">
            <w:pPr>
              <w:rPr>
                <w:sz w:val="22"/>
                <w:szCs w:val="22"/>
              </w:rPr>
            </w:pPr>
          </w:p>
        </w:tc>
      </w:tr>
      <w:tr w:rsidR="00593BC6" w:rsidRPr="00C658CD" w14:paraId="2C8FC01D" w14:textId="77777777" w:rsidTr="00307697">
        <w:trPr>
          <w:cantSplit/>
          <w:trHeight w:val="270"/>
        </w:trPr>
        <w:tc>
          <w:tcPr>
            <w:tcW w:w="2266"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7922" w:type="dxa"/>
          </w:tcPr>
          <w:p w14:paraId="44E1FC10" w14:textId="16C1E2B4" w:rsidR="00593BC6" w:rsidRPr="00C658CD" w:rsidRDefault="00FD2A9F" w:rsidP="00FD2A9F">
            <w:pPr>
              <w:rPr>
                <w:sz w:val="22"/>
                <w:szCs w:val="22"/>
              </w:rPr>
            </w:pPr>
            <w:r>
              <w:rPr>
                <w:sz w:val="22"/>
                <w:szCs w:val="22"/>
              </w:rPr>
              <w:t xml:space="preserve">Comments provided by the European Commission with the support of the </w:t>
            </w:r>
            <w:r w:rsidR="00076090">
              <w:rPr>
                <w:sz w:val="22"/>
                <w:szCs w:val="22"/>
              </w:rPr>
              <w:t>European Food Safety Authority (EFSA)</w:t>
            </w:r>
          </w:p>
        </w:tc>
      </w:tr>
      <w:tr w:rsidR="00593BC6" w:rsidRPr="00C658CD" w14:paraId="3ED36EA3" w14:textId="77777777" w:rsidTr="00307697">
        <w:trPr>
          <w:cantSplit/>
          <w:trHeight w:val="233"/>
        </w:trPr>
        <w:tc>
          <w:tcPr>
            <w:tcW w:w="2266" w:type="dxa"/>
            <w:gridSpan w:val="3"/>
          </w:tcPr>
          <w:p w14:paraId="21C9EB42" w14:textId="77777777" w:rsidR="00593BC6" w:rsidRPr="00C658CD" w:rsidRDefault="00593BC6" w:rsidP="00EA105F">
            <w:pPr>
              <w:rPr>
                <w:b/>
                <w:sz w:val="22"/>
                <w:szCs w:val="22"/>
              </w:rPr>
            </w:pPr>
          </w:p>
        </w:tc>
        <w:tc>
          <w:tcPr>
            <w:tcW w:w="7922" w:type="dxa"/>
          </w:tcPr>
          <w:p w14:paraId="5A530AD5" w14:textId="77777777" w:rsidR="00593BC6" w:rsidRPr="00C658CD" w:rsidRDefault="00593BC6" w:rsidP="00EA105F">
            <w:pPr>
              <w:rPr>
                <w:sz w:val="22"/>
                <w:szCs w:val="22"/>
              </w:rPr>
            </w:pPr>
          </w:p>
        </w:tc>
      </w:tr>
      <w:tr w:rsidR="00593BC6" w:rsidRPr="00E01154" w14:paraId="329D03C5" w14:textId="77777777" w:rsidTr="00307697">
        <w:trPr>
          <w:cantSplit/>
          <w:trHeight w:val="233"/>
        </w:trPr>
        <w:tc>
          <w:tcPr>
            <w:tcW w:w="2266"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7922" w:type="dxa"/>
          </w:tcPr>
          <w:p w14:paraId="7F19A2F3" w14:textId="77777777" w:rsidR="00FD2A9F" w:rsidRDefault="00FD2A9F" w:rsidP="00D66975">
            <w:pPr>
              <w:pStyle w:val="ListParagraph"/>
              <w:numPr>
                <w:ilvl w:val="0"/>
                <w:numId w:val="2"/>
              </w:numPr>
              <w:rPr>
                <w:sz w:val="22"/>
                <w:szCs w:val="22"/>
              </w:rPr>
            </w:pPr>
            <w:r>
              <w:rPr>
                <w:sz w:val="22"/>
                <w:szCs w:val="22"/>
              </w:rPr>
              <w:t>Anastasia.PAGIDA@ec.europa.eu</w:t>
            </w:r>
          </w:p>
          <w:p w14:paraId="7D07E304" w14:textId="2958AA73" w:rsidR="00FD2A9F" w:rsidRPr="00D66975" w:rsidRDefault="00FD2A9F" w:rsidP="00D66975">
            <w:pPr>
              <w:pStyle w:val="ListParagraph"/>
              <w:numPr>
                <w:ilvl w:val="0"/>
                <w:numId w:val="2"/>
              </w:numPr>
              <w:rPr>
                <w:sz w:val="22"/>
                <w:szCs w:val="22"/>
              </w:rPr>
            </w:pPr>
            <w:r>
              <w:rPr>
                <w:sz w:val="22"/>
                <w:szCs w:val="22"/>
              </w:rPr>
              <w:t>Thomas.WEBER@ec.europa.eu</w:t>
            </w:r>
          </w:p>
        </w:tc>
      </w:tr>
      <w:tr w:rsidR="00593BC6" w:rsidRPr="00E01154" w14:paraId="59BA55E5" w14:textId="77777777" w:rsidTr="00307697">
        <w:trPr>
          <w:cantSplit/>
          <w:trHeight w:val="233"/>
        </w:trPr>
        <w:tc>
          <w:tcPr>
            <w:tcW w:w="2266" w:type="dxa"/>
            <w:gridSpan w:val="3"/>
          </w:tcPr>
          <w:p w14:paraId="4CA66506" w14:textId="77777777" w:rsidR="00593BC6" w:rsidRPr="00E01154" w:rsidRDefault="00593BC6" w:rsidP="00EA105F">
            <w:pPr>
              <w:rPr>
                <w:b/>
                <w:sz w:val="22"/>
                <w:szCs w:val="22"/>
              </w:rPr>
            </w:pPr>
          </w:p>
        </w:tc>
        <w:tc>
          <w:tcPr>
            <w:tcW w:w="7922" w:type="dxa"/>
          </w:tcPr>
          <w:p w14:paraId="267E6375" w14:textId="77777777" w:rsidR="00593BC6" w:rsidRPr="00E01154"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E01154"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126B3E" w14:paraId="2A5F8AC1" w14:textId="77777777" w:rsidTr="001A11C0">
        <w:trPr>
          <w:cantSplit/>
          <w:trHeight w:val="233"/>
        </w:trPr>
        <w:tc>
          <w:tcPr>
            <w:tcW w:w="908" w:type="dxa"/>
            <w:shd w:val="clear" w:color="auto" w:fill="auto"/>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255" w:type="dxa"/>
            <w:shd w:val="clear" w:color="auto" w:fill="auto"/>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025" w:type="dxa"/>
            <w:gridSpan w:val="2"/>
            <w:shd w:val="clear" w:color="auto" w:fill="auto"/>
          </w:tcPr>
          <w:p w14:paraId="1DF3BB27" w14:textId="76CD64BE" w:rsidR="00593BC6" w:rsidRPr="00126B3E" w:rsidRDefault="00593BC6" w:rsidP="00804F3C">
            <w:pPr>
              <w:rPr>
                <w:b/>
                <w:sz w:val="22"/>
                <w:szCs w:val="22"/>
              </w:rPr>
            </w:pPr>
          </w:p>
        </w:tc>
      </w:tr>
      <w:tr w:rsidR="006C26C1" w:rsidRPr="00E86669" w14:paraId="7A80C775" w14:textId="77777777" w:rsidTr="00307697">
        <w:trPr>
          <w:cantSplit/>
          <w:trHeight w:val="233"/>
        </w:trPr>
        <w:tc>
          <w:tcPr>
            <w:tcW w:w="908" w:type="dxa"/>
          </w:tcPr>
          <w:p w14:paraId="596209A1" w14:textId="34A82445" w:rsidR="006C26C1" w:rsidRDefault="006C26C1" w:rsidP="008A0ED3">
            <w:pPr>
              <w:rPr>
                <w:sz w:val="22"/>
                <w:szCs w:val="22"/>
              </w:rPr>
            </w:pPr>
            <w:r>
              <w:rPr>
                <w:sz w:val="22"/>
                <w:szCs w:val="22"/>
              </w:rPr>
              <w:t>8</w:t>
            </w:r>
          </w:p>
        </w:tc>
        <w:tc>
          <w:tcPr>
            <w:tcW w:w="1255" w:type="dxa"/>
          </w:tcPr>
          <w:p w14:paraId="21184BEB" w14:textId="31842E0E" w:rsidR="006C26C1" w:rsidRDefault="006C26C1" w:rsidP="008A0ED3">
            <w:pPr>
              <w:rPr>
                <w:sz w:val="22"/>
                <w:szCs w:val="22"/>
              </w:rPr>
            </w:pPr>
            <w:r>
              <w:rPr>
                <w:sz w:val="22"/>
                <w:szCs w:val="22"/>
              </w:rPr>
              <w:t>1</w:t>
            </w:r>
          </w:p>
        </w:tc>
        <w:tc>
          <w:tcPr>
            <w:tcW w:w="8025" w:type="dxa"/>
            <w:gridSpan w:val="2"/>
          </w:tcPr>
          <w:p w14:paraId="18065866" w14:textId="07A1681B" w:rsidR="00145A8B" w:rsidRDefault="006C26C1" w:rsidP="00932029">
            <w:pPr>
              <w:rPr>
                <w:sz w:val="22"/>
                <w:szCs w:val="22"/>
              </w:rPr>
            </w:pPr>
            <w:r>
              <w:rPr>
                <w:sz w:val="22"/>
                <w:szCs w:val="22"/>
              </w:rPr>
              <w:t>General comment</w:t>
            </w:r>
            <w:r w:rsidR="00D4411A">
              <w:rPr>
                <w:sz w:val="22"/>
                <w:szCs w:val="22"/>
              </w:rPr>
              <w:t>s</w:t>
            </w:r>
            <w:r>
              <w:rPr>
                <w:sz w:val="22"/>
                <w:szCs w:val="22"/>
              </w:rPr>
              <w:t xml:space="preserve"> that </w:t>
            </w:r>
            <w:r w:rsidR="00D4411A">
              <w:rPr>
                <w:sz w:val="22"/>
                <w:szCs w:val="22"/>
              </w:rPr>
              <w:t>are</w:t>
            </w:r>
            <w:r>
              <w:rPr>
                <w:sz w:val="22"/>
                <w:szCs w:val="22"/>
              </w:rPr>
              <w:t xml:space="preserve"> applicable to the entire report</w:t>
            </w:r>
            <w:r w:rsidR="00523110">
              <w:rPr>
                <w:sz w:val="22"/>
                <w:szCs w:val="22"/>
              </w:rPr>
              <w:t>:</w:t>
            </w:r>
          </w:p>
          <w:p w14:paraId="2B65F491" w14:textId="77777777" w:rsidR="00523110" w:rsidRDefault="00523110" w:rsidP="00932029">
            <w:pPr>
              <w:rPr>
                <w:sz w:val="22"/>
                <w:szCs w:val="22"/>
              </w:rPr>
            </w:pPr>
          </w:p>
          <w:p w14:paraId="5BBDDBEE" w14:textId="77777777" w:rsidR="00F402EC" w:rsidRDefault="006C26C1" w:rsidP="00932029">
            <w:pPr>
              <w:pStyle w:val="ListParagraph"/>
              <w:numPr>
                <w:ilvl w:val="0"/>
                <w:numId w:val="3"/>
              </w:numPr>
              <w:rPr>
                <w:sz w:val="22"/>
                <w:szCs w:val="22"/>
              </w:rPr>
            </w:pPr>
            <w:r w:rsidRPr="00145A8B">
              <w:rPr>
                <w:sz w:val="22"/>
                <w:szCs w:val="22"/>
              </w:rPr>
              <w:t>Only a fraction of relevant publications are cited</w:t>
            </w:r>
            <w:r w:rsidR="00BF3103" w:rsidRPr="00145A8B">
              <w:rPr>
                <w:sz w:val="22"/>
                <w:szCs w:val="22"/>
              </w:rPr>
              <w:t xml:space="preserve"> throughout the report</w:t>
            </w:r>
            <w:r w:rsidRPr="00145A8B">
              <w:rPr>
                <w:sz w:val="22"/>
                <w:szCs w:val="22"/>
              </w:rPr>
              <w:t xml:space="preserve"> – many more relevant papers (including more recent ones) have been published in the scientific literature</w:t>
            </w:r>
            <w:r w:rsidR="00B1563E" w:rsidRPr="00145A8B">
              <w:rPr>
                <w:sz w:val="22"/>
                <w:szCs w:val="22"/>
              </w:rPr>
              <w:t xml:space="preserve"> and would be worthwhile citing</w:t>
            </w:r>
            <w:r w:rsidR="00F402EC">
              <w:rPr>
                <w:sz w:val="22"/>
                <w:szCs w:val="22"/>
              </w:rPr>
              <w:t>;</w:t>
            </w:r>
          </w:p>
          <w:p w14:paraId="5C6ACEBA" w14:textId="77777777" w:rsidR="00F402EC" w:rsidRDefault="00F402EC" w:rsidP="00932029">
            <w:pPr>
              <w:pStyle w:val="ListParagraph"/>
              <w:numPr>
                <w:ilvl w:val="0"/>
                <w:numId w:val="3"/>
              </w:numPr>
              <w:rPr>
                <w:sz w:val="22"/>
                <w:szCs w:val="22"/>
              </w:rPr>
            </w:pPr>
            <w:r w:rsidRPr="00F402EC">
              <w:rPr>
                <w:sz w:val="22"/>
                <w:szCs w:val="22"/>
              </w:rPr>
              <w:t>I</w:t>
            </w:r>
            <w:r w:rsidR="008A28B9" w:rsidRPr="00F402EC">
              <w:rPr>
                <w:sz w:val="22"/>
                <w:szCs w:val="22"/>
              </w:rPr>
              <w:t xml:space="preserve">t may be helpful to clarify the criteria used </w:t>
            </w:r>
            <w:r w:rsidR="003D6C4B" w:rsidRPr="00F402EC">
              <w:rPr>
                <w:sz w:val="22"/>
                <w:szCs w:val="22"/>
              </w:rPr>
              <w:t xml:space="preserve">for </w:t>
            </w:r>
            <w:r w:rsidR="00460983" w:rsidRPr="00F402EC">
              <w:rPr>
                <w:sz w:val="22"/>
                <w:szCs w:val="22"/>
              </w:rPr>
              <w:t xml:space="preserve">selecting, </w:t>
            </w:r>
            <w:r w:rsidR="003D6C4B" w:rsidRPr="00F402EC">
              <w:rPr>
                <w:sz w:val="22"/>
                <w:szCs w:val="22"/>
              </w:rPr>
              <w:t>citing or excluding relevant publications</w:t>
            </w:r>
            <w:r w:rsidRPr="00F402EC">
              <w:rPr>
                <w:sz w:val="22"/>
                <w:szCs w:val="22"/>
              </w:rPr>
              <w:t>;</w:t>
            </w:r>
          </w:p>
          <w:p w14:paraId="36C1A3EF" w14:textId="67FD12B3" w:rsidR="00F402EC" w:rsidRDefault="00903132" w:rsidP="00F402EC">
            <w:pPr>
              <w:pStyle w:val="ListParagraph"/>
              <w:numPr>
                <w:ilvl w:val="0"/>
                <w:numId w:val="3"/>
              </w:numPr>
              <w:rPr>
                <w:sz w:val="22"/>
                <w:szCs w:val="22"/>
              </w:rPr>
            </w:pPr>
            <w:r w:rsidRPr="00F402EC">
              <w:rPr>
                <w:sz w:val="22"/>
                <w:szCs w:val="22"/>
              </w:rPr>
              <w:t xml:space="preserve">A narrative approach is followed to describe some of the relevant </w:t>
            </w:r>
            <w:r w:rsidR="00400995" w:rsidRPr="00F402EC">
              <w:rPr>
                <w:sz w:val="22"/>
                <w:szCs w:val="22"/>
              </w:rPr>
              <w:t xml:space="preserve">information reported in the scientific literature. Yet, the weight of evidence given to the publications cited and </w:t>
            </w:r>
            <w:r w:rsidR="00FB4BB8" w:rsidRPr="00F402EC">
              <w:rPr>
                <w:sz w:val="22"/>
                <w:szCs w:val="22"/>
              </w:rPr>
              <w:t xml:space="preserve">statements made therein </w:t>
            </w:r>
            <w:r w:rsidR="00B14527" w:rsidRPr="00F402EC">
              <w:rPr>
                <w:sz w:val="22"/>
                <w:szCs w:val="22"/>
              </w:rPr>
              <w:t>is not reported</w:t>
            </w:r>
            <w:r w:rsidR="00383434" w:rsidRPr="00F402EC">
              <w:rPr>
                <w:sz w:val="22"/>
                <w:szCs w:val="22"/>
              </w:rPr>
              <w:t xml:space="preserve">, suggesting that each single scientific publication has </w:t>
            </w:r>
            <w:r w:rsidR="00AD05C0" w:rsidRPr="00F402EC">
              <w:rPr>
                <w:sz w:val="22"/>
                <w:szCs w:val="22"/>
              </w:rPr>
              <w:t xml:space="preserve">been attributed an equal </w:t>
            </w:r>
            <w:r w:rsidR="00383434" w:rsidRPr="00F402EC">
              <w:rPr>
                <w:sz w:val="22"/>
                <w:szCs w:val="22"/>
              </w:rPr>
              <w:t>weight</w:t>
            </w:r>
            <w:r w:rsidR="000A777A">
              <w:rPr>
                <w:sz w:val="22"/>
                <w:szCs w:val="22"/>
              </w:rPr>
              <w:t xml:space="preserve">. However, the </w:t>
            </w:r>
            <w:r w:rsidR="0027178E">
              <w:rPr>
                <w:sz w:val="22"/>
                <w:szCs w:val="22"/>
              </w:rPr>
              <w:t>quality</w:t>
            </w:r>
            <w:r w:rsidR="00D8417F">
              <w:rPr>
                <w:sz w:val="22"/>
                <w:szCs w:val="22"/>
              </w:rPr>
              <w:t xml:space="preserve"> of </w:t>
            </w:r>
            <w:r w:rsidR="00FF543A">
              <w:rPr>
                <w:sz w:val="22"/>
                <w:szCs w:val="22"/>
              </w:rPr>
              <w:t>scientific publications cited can vary</w:t>
            </w:r>
            <w:r w:rsidR="00F402EC" w:rsidRPr="00F402EC">
              <w:rPr>
                <w:sz w:val="22"/>
                <w:szCs w:val="22"/>
              </w:rPr>
              <w:t>;</w:t>
            </w:r>
          </w:p>
          <w:p w14:paraId="0EB2F401" w14:textId="2D8AC7EA" w:rsidR="00AD05C0" w:rsidRDefault="00982CF2" w:rsidP="00F402EC">
            <w:pPr>
              <w:pStyle w:val="ListParagraph"/>
              <w:numPr>
                <w:ilvl w:val="0"/>
                <w:numId w:val="3"/>
              </w:numPr>
              <w:rPr>
                <w:sz w:val="22"/>
                <w:szCs w:val="22"/>
              </w:rPr>
            </w:pPr>
            <w:r>
              <w:rPr>
                <w:sz w:val="22"/>
                <w:szCs w:val="22"/>
              </w:rPr>
              <w:t>For transparency i</w:t>
            </w:r>
            <w:r w:rsidR="002956BE">
              <w:rPr>
                <w:sz w:val="22"/>
                <w:szCs w:val="22"/>
              </w:rPr>
              <w:t xml:space="preserve">t would be helpful to </w:t>
            </w:r>
            <w:r w:rsidR="00471B48">
              <w:rPr>
                <w:sz w:val="22"/>
                <w:szCs w:val="22"/>
              </w:rPr>
              <w:t>“</w:t>
            </w:r>
            <w:r w:rsidR="00471B48" w:rsidRPr="00471B48">
              <w:rPr>
                <w:i/>
                <w:iCs/>
                <w:sz w:val="22"/>
                <w:szCs w:val="22"/>
              </w:rPr>
              <w:t>quote</w:t>
            </w:r>
            <w:r w:rsidR="00471B48">
              <w:rPr>
                <w:sz w:val="22"/>
                <w:szCs w:val="22"/>
              </w:rPr>
              <w:t>” the s</w:t>
            </w:r>
            <w:r w:rsidR="00CB5C4E">
              <w:rPr>
                <w:sz w:val="22"/>
                <w:szCs w:val="22"/>
              </w:rPr>
              <w:t xml:space="preserve">entences </w:t>
            </w:r>
            <w:r w:rsidR="0026298B">
              <w:rPr>
                <w:sz w:val="22"/>
                <w:szCs w:val="22"/>
              </w:rPr>
              <w:t>reused</w:t>
            </w:r>
            <w:r w:rsidR="005D0036">
              <w:rPr>
                <w:sz w:val="22"/>
                <w:szCs w:val="22"/>
              </w:rPr>
              <w:t>/copy pasted</w:t>
            </w:r>
            <w:r w:rsidR="0026298B">
              <w:rPr>
                <w:sz w:val="22"/>
                <w:szCs w:val="22"/>
              </w:rPr>
              <w:t xml:space="preserve"> from scientific publications</w:t>
            </w:r>
            <w:r w:rsidR="002E46E3">
              <w:rPr>
                <w:sz w:val="22"/>
                <w:szCs w:val="22"/>
              </w:rPr>
              <w:t>;</w:t>
            </w:r>
          </w:p>
          <w:p w14:paraId="42DC8BBB" w14:textId="77777777" w:rsidR="00DB0E19" w:rsidRDefault="00DB0E19" w:rsidP="00F402EC">
            <w:pPr>
              <w:pStyle w:val="ListParagraph"/>
              <w:numPr>
                <w:ilvl w:val="0"/>
                <w:numId w:val="3"/>
              </w:numPr>
              <w:rPr>
                <w:sz w:val="22"/>
                <w:szCs w:val="22"/>
              </w:rPr>
            </w:pPr>
            <w:r>
              <w:rPr>
                <w:sz w:val="22"/>
                <w:szCs w:val="22"/>
              </w:rPr>
              <w:t xml:space="preserve">In several cases, a single reference is </w:t>
            </w:r>
            <w:r w:rsidR="00392485">
              <w:rPr>
                <w:sz w:val="22"/>
                <w:szCs w:val="22"/>
              </w:rPr>
              <w:t>cited</w:t>
            </w:r>
            <w:r w:rsidR="00DC1260">
              <w:rPr>
                <w:sz w:val="22"/>
                <w:szCs w:val="22"/>
              </w:rPr>
              <w:t xml:space="preserve"> to </w:t>
            </w:r>
            <w:r w:rsidR="00725078">
              <w:rPr>
                <w:sz w:val="22"/>
                <w:szCs w:val="22"/>
              </w:rPr>
              <w:t>substantiate a statement made in the report</w:t>
            </w:r>
            <w:r>
              <w:rPr>
                <w:sz w:val="22"/>
                <w:szCs w:val="22"/>
              </w:rPr>
              <w:t xml:space="preserve">, though </w:t>
            </w:r>
            <w:r w:rsidR="002A60F1">
              <w:rPr>
                <w:sz w:val="22"/>
                <w:szCs w:val="22"/>
              </w:rPr>
              <w:t>other</w:t>
            </w:r>
            <w:r w:rsidR="00B85586">
              <w:rPr>
                <w:sz w:val="22"/>
                <w:szCs w:val="22"/>
              </w:rPr>
              <w:t xml:space="preserve"> publications could be cited</w:t>
            </w:r>
            <w:r w:rsidR="00FE5A57">
              <w:rPr>
                <w:sz w:val="22"/>
                <w:szCs w:val="22"/>
              </w:rPr>
              <w:t xml:space="preserve"> </w:t>
            </w:r>
            <w:r w:rsidR="00BC35B5">
              <w:rPr>
                <w:sz w:val="22"/>
                <w:szCs w:val="22"/>
              </w:rPr>
              <w:t>in support of th</w:t>
            </w:r>
            <w:r w:rsidR="00DA203E">
              <w:rPr>
                <w:sz w:val="22"/>
                <w:szCs w:val="22"/>
              </w:rPr>
              <w:t>at</w:t>
            </w:r>
            <w:r w:rsidR="00BC35B5">
              <w:rPr>
                <w:sz w:val="22"/>
                <w:szCs w:val="22"/>
              </w:rPr>
              <w:t xml:space="preserve"> statement</w:t>
            </w:r>
            <w:r w:rsidR="00594AA5">
              <w:rPr>
                <w:sz w:val="22"/>
                <w:szCs w:val="22"/>
              </w:rPr>
              <w:t>;</w:t>
            </w:r>
          </w:p>
          <w:p w14:paraId="5D79B425" w14:textId="77777777" w:rsidR="002C3F4E" w:rsidRDefault="008060C8" w:rsidP="00F402EC">
            <w:pPr>
              <w:pStyle w:val="ListParagraph"/>
              <w:numPr>
                <w:ilvl w:val="0"/>
                <w:numId w:val="3"/>
              </w:numPr>
              <w:rPr>
                <w:sz w:val="22"/>
                <w:szCs w:val="22"/>
              </w:rPr>
            </w:pPr>
            <w:r>
              <w:rPr>
                <w:sz w:val="22"/>
                <w:szCs w:val="22"/>
              </w:rPr>
              <w:t xml:space="preserve">Several general statements are made throughout </w:t>
            </w:r>
            <w:r w:rsidR="00220F8F">
              <w:rPr>
                <w:sz w:val="22"/>
                <w:szCs w:val="22"/>
              </w:rPr>
              <w:t>the report</w:t>
            </w:r>
            <w:r w:rsidR="007F6C1E">
              <w:rPr>
                <w:sz w:val="22"/>
                <w:szCs w:val="22"/>
              </w:rPr>
              <w:t xml:space="preserve">, without specifying whether </w:t>
            </w:r>
            <w:r w:rsidR="00A64848">
              <w:rPr>
                <w:sz w:val="22"/>
                <w:szCs w:val="22"/>
              </w:rPr>
              <w:t xml:space="preserve">these statements are applicable to all </w:t>
            </w:r>
            <w:r w:rsidR="00B45AF0">
              <w:rPr>
                <w:sz w:val="22"/>
                <w:szCs w:val="22"/>
              </w:rPr>
              <w:t xml:space="preserve">potential SynBio applications </w:t>
            </w:r>
            <w:r w:rsidR="00405838">
              <w:rPr>
                <w:sz w:val="22"/>
                <w:szCs w:val="22"/>
              </w:rPr>
              <w:t>or specific ones</w:t>
            </w:r>
            <w:r w:rsidR="003E1A99">
              <w:rPr>
                <w:sz w:val="22"/>
                <w:szCs w:val="22"/>
              </w:rPr>
              <w:t xml:space="preserve"> only</w:t>
            </w:r>
            <w:r w:rsidR="00405838">
              <w:rPr>
                <w:sz w:val="22"/>
                <w:szCs w:val="22"/>
              </w:rPr>
              <w:t xml:space="preserve">. This is confusing, </w:t>
            </w:r>
            <w:r w:rsidR="00EC6D54">
              <w:rPr>
                <w:sz w:val="22"/>
                <w:szCs w:val="22"/>
              </w:rPr>
              <w:t xml:space="preserve">as in many cases, the statements made </w:t>
            </w:r>
            <w:r w:rsidR="00CD01C5">
              <w:rPr>
                <w:sz w:val="22"/>
                <w:szCs w:val="22"/>
              </w:rPr>
              <w:t xml:space="preserve">should not be generalised. It would therefore be helpful to </w:t>
            </w:r>
            <w:r w:rsidR="004F3214">
              <w:rPr>
                <w:sz w:val="22"/>
                <w:szCs w:val="22"/>
              </w:rPr>
              <w:t>remain as specific as possible</w:t>
            </w:r>
            <w:r w:rsidR="0002726E">
              <w:rPr>
                <w:sz w:val="22"/>
                <w:szCs w:val="22"/>
              </w:rPr>
              <w:t xml:space="preserve"> and follow a case</w:t>
            </w:r>
            <w:r w:rsidR="002C3F4E">
              <w:rPr>
                <w:sz w:val="22"/>
                <w:szCs w:val="22"/>
              </w:rPr>
              <w:t>-specific approach in the report;</w:t>
            </w:r>
          </w:p>
          <w:p w14:paraId="09F28F57" w14:textId="77777777" w:rsidR="002365E6" w:rsidRDefault="002C3F4E" w:rsidP="005F447C">
            <w:pPr>
              <w:pStyle w:val="ListParagraph"/>
              <w:numPr>
                <w:ilvl w:val="0"/>
                <w:numId w:val="3"/>
              </w:numPr>
              <w:rPr>
                <w:sz w:val="22"/>
                <w:szCs w:val="22"/>
              </w:rPr>
            </w:pPr>
            <w:r>
              <w:rPr>
                <w:sz w:val="22"/>
                <w:szCs w:val="22"/>
              </w:rPr>
              <w:t>S</w:t>
            </w:r>
            <w:r w:rsidR="00211354">
              <w:rPr>
                <w:sz w:val="22"/>
                <w:szCs w:val="22"/>
              </w:rPr>
              <w:t xml:space="preserve">everal of the general statements </w:t>
            </w:r>
            <w:r>
              <w:rPr>
                <w:sz w:val="22"/>
                <w:szCs w:val="22"/>
              </w:rPr>
              <w:t xml:space="preserve">made </w:t>
            </w:r>
            <w:r w:rsidR="00211354">
              <w:rPr>
                <w:sz w:val="22"/>
                <w:szCs w:val="22"/>
              </w:rPr>
              <w:t>are not specific to SynBio applications</w:t>
            </w:r>
            <w:r w:rsidR="002365E6">
              <w:rPr>
                <w:sz w:val="22"/>
                <w:szCs w:val="22"/>
              </w:rPr>
              <w:t>;</w:t>
            </w:r>
          </w:p>
          <w:p w14:paraId="3C253576" w14:textId="1A8703C3" w:rsidR="005F447C" w:rsidRPr="005F447C" w:rsidRDefault="005F447C" w:rsidP="005F447C">
            <w:pPr>
              <w:pStyle w:val="ListParagraph"/>
              <w:numPr>
                <w:ilvl w:val="0"/>
                <w:numId w:val="3"/>
              </w:numPr>
              <w:rPr>
                <w:sz w:val="22"/>
                <w:szCs w:val="22"/>
              </w:rPr>
            </w:pPr>
            <w:r>
              <w:rPr>
                <w:sz w:val="22"/>
                <w:szCs w:val="22"/>
              </w:rPr>
              <w:t xml:space="preserve">To focus the report </w:t>
            </w:r>
            <w:r w:rsidR="00892B08">
              <w:rPr>
                <w:sz w:val="22"/>
                <w:szCs w:val="22"/>
              </w:rPr>
              <w:t xml:space="preserve">further, perhaps it may be helpful to </w:t>
            </w:r>
            <w:r w:rsidR="00161D17">
              <w:rPr>
                <w:sz w:val="22"/>
                <w:szCs w:val="22"/>
              </w:rPr>
              <w:t xml:space="preserve">single out the novel features of SynBio applications </w:t>
            </w:r>
            <w:r w:rsidR="00E57DA6">
              <w:rPr>
                <w:sz w:val="22"/>
                <w:szCs w:val="22"/>
              </w:rPr>
              <w:t xml:space="preserve">as </w:t>
            </w:r>
            <w:r w:rsidR="00161D17">
              <w:rPr>
                <w:sz w:val="22"/>
                <w:szCs w:val="22"/>
              </w:rPr>
              <w:t>compared with “contemporary” GMOs</w:t>
            </w:r>
            <w:r w:rsidR="00E57DA6">
              <w:rPr>
                <w:sz w:val="22"/>
                <w:szCs w:val="22"/>
              </w:rPr>
              <w:t xml:space="preserve">, and explore the </w:t>
            </w:r>
            <w:r w:rsidR="00CC756C">
              <w:rPr>
                <w:sz w:val="22"/>
                <w:szCs w:val="22"/>
              </w:rPr>
              <w:t>potential challenges they may pose to risk assessment</w:t>
            </w:r>
          </w:p>
        </w:tc>
      </w:tr>
      <w:tr w:rsidR="008A0ED3" w:rsidRPr="00E86669" w14:paraId="769AE0B9" w14:textId="77777777" w:rsidTr="00307697">
        <w:trPr>
          <w:cantSplit/>
          <w:trHeight w:val="233"/>
        </w:trPr>
        <w:tc>
          <w:tcPr>
            <w:tcW w:w="908" w:type="dxa"/>
          </w:tcPr>
          <w:p w14:paraId="2A249740" w14:textId="77777777" w:rsidR="008A0ED3" w:rsidRPr="00E86669" w:rsidRDefault="008A0ED3" w:rsidP="008A0ED3">
            <w:pPr>
              <w:rPr>
                <w:sz w:val="22"/>
                <w:szCs w:val="22"/>
              </w:rPr>
            </w:pPr>
            <w:r>
              <w:rPr>
                <w:sz w:val="22"/>
                <w:szCs w:val="22"/>
              </w:rPr>
              <w:t>8</w:t>
            </w:r>
          </w:p>
        </w:tc>
        <w:tc>
          <w:tcPr>
            <w:tcW w:w="1255" w:type="dxa"/>
          </w:tcPr>
          <w:p w14:paraId="58CB4352" w14:textId="337DE7D6" w:rsidR="008A0ED3" w:rsidRPr="00E86669" w:rsidRDefault="008A0ED3" w:rsidP="008A0ED3">
            <w:pPr>
              <w:rPr>
                <w:sz w:val="22"/>
                <w:szCs w:val="22"/>
              </w:rPr>
            </w:pPr>
            <w:r>
              <w:rPr>
                <w:sz w:val="22"/>
                <w:szCs w:val="22"/>
              </w:rPr>
              <w:t>1</w:t>
            </w:r>
            <w:r w:rsidR="00932029">
              <w:rPr>
                <w:sz w:val="22"/>
                <w:szCs w:val="22"/>
              </w:rPr>
              <w:t>8</w:t>
            </w:r>
            <w:r>
              <w:rPr>
                <w:sz w:val="22"/>
                <w:szCs w:val="22"/>
              </w:rPr>
              <w:t>-19</w:t>
            </w:r>
          </w:p>
        </w:tc>
        <w:tc>
          <w:tcPr>
            <w:tcW w:w="8025" w:type="dxa"/>
            <w:gridSpan w:val="2"/>
          </w:tcPr>
          <w:p w14:paraId="08E28F2A" w14:textId="409EB76C" w:rsidR="00932029" w:rsidRDefault="008A0ED3" w:rsidP="00932029">
            <w:pPr>
              <w:rPr>
                <w:sz w:val="22"/>
                <w:szCs w:val="22"/>
              </w:rPr>
            </w:pPr>
            <w:r>
              <w:rPr>
                <w:sz w:val="22"/>
                <w:szCs w:val="22"/>
              </w:rPr>
              <w:t xml:space="preserve">Could you perhaps be more </w:t>
            </w:r>
            <w:r w:rsidRPr="00E86669">
              <w:rPr>
                <w:sz w:val="22"/>
                <w:szCs w:val="22"/>
              </w:rPr>
              <w:t>specific about “</w:t>
            </w:r>
            <w:r w:rsidR="00932029">
              <w:rPr>
                <w:sz w:val="22"/>
                <w:szCs w:val="22"/>
              </w:rPr>
              <w:t>(i) contained, industrial, or laboratory settings, (ii) semi-managed, managed, or urban settings, or (iii) unmanaged or wild settings</w:t>
            </w:r>
            <w:r w:rsidR="002B47A1">
              <w:rPr>
                <w:sz w:val="22"/>
                <w:szCs w:val="22"/>
              </w:rPr>
              <w:t>” by providing a short description/explanation in between brackets</w:t>
            </w:r>
            <w:r w:rsidR="002B47A1" w:rsidRPr="00E86669">
              <w:rPr>
                <w:sz w:val="22"/>
                <w:szCs w:val="22"/>
              </w:rPr>
              <w:t>?</w:t>
            </w:r>
          </w:p>
        </w:tc>
      </w:tr>
      <w:tr w:rsidR="00B901F0" w:rsidRPr="00E86669" w14:paraId="59088FFC" w14:textId="77777777" w:rsidTr="00307697">
        <w:trPr>
          <w:cantSplit/>
          <w:trHeight w:val="233"/>
        </w:trPr>
        <w:tc>
          <w:tcPr>
            <w:tcW w:w="908" w:type="dxa"/>
          </w:tcPr>
          <w:p w14:paraId="0B285769" w14:textId="388897BB" w:rsidR="00B901F0" w:rsidRDefault="00B901F0" w:rsidP="008A0ED3">
            <w:pPr>
              <w:rPr>
                <w:sz w:val="22"/>
                <w:szCs w:val="22"/>
              </w:rPr>
            </w:pPr>
            <w:r>
              <w:rPr>
                <w:sz w:val="22"/>
                <w:szCs w:val="22"/>
              </w:rPr>
              <w:lastRenderedPageBreak/>
              <w:t>9</w:t>
            </w:r>
          </w:p>
        </w:tc>
        <w:tc>
          <w:tcPr>
            <w:tcW w:w="1255" w:type="dxa"/>
          </w:tcPr>
          <w:p w14:paraId="25AE1616" w14:textId="6B31AAF6" w:rsidR="00B901F0" w:rsidRDefault="00B901F0" w:rsidP="008A0ED3">
            <w:pPr>
              <w:rPr>
                <w:sz w:val="22"/>
                <w:szCs w:val="22"/>
              </w:rPr>
            </w:pPr>
            <w:r>
              <w:rPr>
                <w:sz w:val="22"/>
                <w:szCs w:val="22"/>
              </w:rPr>
              <w:t>4</w:t>
            </w:r>
          </w:p>
        </w:tc>
        <w:tc>
          <w:tcPr>
            <w:tcW w:w="8025" w:type="dxa"/>
            <w:gridSpan w:val="2"/>
          </w:tcPr>
          <w:p w14:paraId="229213A6" w14:textId="573D9E4C" w:rsidR="00B901F0" w:rsidRDefault="00B901F0" w:rsidP="00932029">
            <w:pPr>
              <w:rPr>
                <w:sz w:val="22"/>
                <w:szCs w:val="22"/>
              </w:rPr>
            </w:pPr>
            <w:r>
              <w:rPr>
                <w:sz w:val="22"/>
                <w:szCs w:val="22"/>
              </w:rPr>
              <w:t>Delete “the focus on”.</w:t>
            </w:r>
          </w:p>
        </w:tc>
      </w:tr>
      <w:tr w:rsidR="00B901F0" w:rsidRPr="00E86669" w14:paraId="4DE92645" w14:textId="77777777" w:rsidTr="00307697">
        <w:trPr>
          <w:cantSplit/>
          <w:trHeight w:val="233"/>
        </w:trPr>
        <w:tc>
          <w:tcPr>
            <w:tcW w:w="908" w:type="dxa"/>
          </w:tcPr>
          <w:p w14:paraId="6E3A193B" w14:textId="63BBED60" w:rsidR="00B901F0" w:rsidRDefault="00B901F0" w:rsidP="008A0ED3">
            <w:pPr>
              <w:rPr>
                <w:sz w:val="22"/>
                <w:szCs w:val="22"/>
              </w:rPr>
            </w:pPr>
            <w:r>
              <w:rPr>
                <w:sz w:val="22"/>
                <w:szCs w:val="22"/>
              </w:rPr>
              <w:t>9</w:t>
            </w:r>
          </w:p>
        </w:tc>
        <w:tc>
          <w:tcPr>
            <w:tcW w:w="1255" w:type="dxa"/>
          </w:tcPr>
          <w:p w14:paraId="45E6F1A8" w14:textId="60ABA5EF" w:rsidR="00B901F0" w:rsidRDefault="00B901F0" w:rsidP="008A0ED3">
            <w:pPr>
              <w:rPr>
                <w:sz w:val="22"/>
                <w:szCs w:val="22"/>
              </w:rPr>
            </w:pPr>
            <w:r>
              <w:rPr>
                <w:sz w:val="22"/>
                <w:szCs w:val="22"/>
              </w:rPr>
              <w:t>23</w:t>
            </w:r>
          </w:p>
        </w:tc>
        <w:tc>
          <w:tcPr>
            <w:tcW w:w="8025" w:type="dxa"/>
            <w:gridSpan w:val="2"/>
          </w:tcPr>
          <w:p w14:paraId="47D1925F" w14:textId="413135D0" w:rsidR="00B901F0" w:rsidRDefault="00B901F0" w:rsidP="00932029">
            <w:pPr>
              <w:rPr>
                <w:sz w:val="22"/>
                <w:szCs w:val="22"/>
              </w:rPr>
            </w:pPr>
            <w:r>
              <w:rPr>
                <w:sz w:val="22"/>
                <w:szCs w:val="22"/>
              </w:rPr>
              <w:t>Replace “issue” with “relevant applications”.</w:t>
            </w:r>
          </w:p>
        </w:tc>
      </w:tr>
      <w:tr w:rsidR="00593BC6" w:rsidRPr="00E86669" w14:paraId="52D4B2D0" w14:textId="77777777" w:rsidTr="00307697">
        <w:trPr>
          <w:cantSplit/>
          <w:trHeight w:val="233"/>
        </w:trPr>
        <w:tc>
          <w:tcPr>
            <w:tcW w:w="908" w:type="dxa"/>
          </w:tcPr>
          <w:p w14:paraId="2E5AE1CF" w14:textId="5D2E6E22" w:rsidR="00593BC6" w:rsidRPr="00E86669" w:rsidRDefault="00483437" w:rsidP="00EA105F">
            <w:pPr>
              <w:rPr>
                <w:sz w:val="22"/>
                <w:szCs w:val="22"/>
              </w:rPr>
            </w:pPr>
            <w:r w:rsidRPr="00E86669">
              <w:rPr>
                <w:sz w:val="22"/>
                <w:szCs w:val="22"/>
              </w:rPr>
              <w:t>9</w:t>
            </w:r>
          </w:p>
        </w:tc>
        <w:tc>
          <w:tcPr>
            <w:tcW w:w="1255" w:type="dxa"/>
          </w:tcPr>
          <w:p w14:paraId="6F9597EA" w14:textId="7AEFAE60" w:rsidR="00593BC6" w:rsidRPr="00E86669" w:rsidRDefault="00483437" w:rsidP="00EA105F">
            <w:pPr>
              <w:rPr>
                <w:sz w:val="22"/>
                <w:szCs w:val="22"/>
              </w:rPr>
            </w:pPr>
            <w:r w:rsidRPr="00E86669">
              <w:rPr>
                <w:sz w:val="22"/>
                <w:szCs w:val="22"/>
              </w:rPr>
              <w:t>43-46</w:t>
            </w:r>
          </w:p>
        </w:tc>
        <w:tc>
          <w:tcPr>
            <w:tcW w:w="8025" w:type="dxa"/>
            <w:gridSpan w:val="2"/>
          </w:tcPr>
          <w:p w14:paraId="58F1E46B" w14:textId="358E2B09" w:rsidR="00593BC6" w:rsidRPr="00E86669" w:rsidRDefault="00483437" w:rsidP="00EA105F">
            <w:pPr>
              <w:rPr>
                <w:sz w:val="22"/>
                <w:szCs w:val="22"/>
              </w:rPr>
            </w:pPr>
            <w:r w:rsidRPr="00E86669">
              <w:rPr>
                <w:sz w:val="22"/>
                <w:szCs w:val="22"/>
              </w:rPr>
              <w:t>Engineered gene drive applications are also under development to help rescue endangered species</w:t>
            </w:r>
            <w:r w:rsidR="00C64789" w:rsidRPr="00E86669">
              <w:rPr>
                <w:sz w:val="22"/>
                <w:szCs w:val="22"/>
              </w:rPr>
              <w:t xml:space="preserve">. Perhaps this </w:t>
            </w:r>
            <w:r w:rsidR="0002506B" w:rsidRPr="00E86669">
              <w:rPr>
                <w:sz w:val="22"/>
                <w:szCs w:val="22"/>
              </w:rPr>
              <w:t xml:space="preserve">additional type of application </w:t>
            </w:r>
            <w:r w:rsidR="00C64789" w:rsidRPr="00E86669">
              <w:rPr>
                <w:sz w:val="22"/>
                <w:szCs w:val="22"/>
              </w:rPr>
              <w:t>could be added to the list</w:t>
            </w:r>
          </w:p>
        </w:tc>
      </w:tr>
      <w:tr w:rsidR="00B901F0" w:rsidRPr="00E86669" w14:paraId="6D4DECDC" w14:textId="77777777" w:rsidTr="00307697">
        <w:trPr>
          <w:cantSplit/>
          <w:trHeight w:val="233"/>
        </w:trPr>
        <w:tc>
          <w:tcPr>
            <w:tcW w:w="908" w:type="dxa"/>
          </w:tcPr>
          <w:p w14:paraId="76AF36C8" w14:textId="6184951A" w:rsidR="00B901F0" w:rsidRPr="00E86669" w:rsidRDefault="00B901F0" w:rsidP="00EA105F">
            <w:pPr>
              <w:rPr>
                <w:sz w:val="22"/>
                <w:szCs w:val="22"/>
              </w:rPr>
            </w:pPr>
            <w:r>
              <w:rPr>
                <w:sz w:val="22"/>
                <w:szCs w:val="22"/>
              </w:rPr>
              <w:t>9</w:t>
            </w:r>
          </w:p>
        </w:tc>
        <w:tc>
          <w:tcPr>
            <w:tcW w:w="1255" w:type="dxa"/>
          </w:tcPr>
          <w:p w14:paraId="3AD57BF6" w14:textId="0E053B23" w:rsidR="00B901F0" w:rsidRPr="00E86669" w:rsidRDefault="00B901F0" w:rsidP="00EA105F">
            <w:pPr>
              <w:rPr>
                <w:sz w:val="22"/>
                <w:szCs w:val="22"/>
              </w:rPr>
            </w:pPr>
            <w:r>
              <w:rPr>
                <w:sz w:val="22"/>
                <w:szCs w:val="22"/>
              </w:rPr>
              <w:t>47</w:t>
            </w:r>
          </w:p>
        </w:tc>
        <w:tc>
          <w:tcPr>
            <w:tcW w:w="8025" w:type="dxa"/>
            <w:gridSpan w:val="2"/>
          </w:tcPr>
          <w:p w14:paraId="2B015606" w14:textId="437AF91D" w:rsidR="00B901F0" w:rsidRPr="00E86669" w:rsidRDefault="00B901F0" w:rsidP="00EA105F">
            <w:pPr>
              <w:rPr>
                <w:sz w:val="22"/>
                <w:szCs w:val="22"/>
              </w:rPr>
            </w:pPr>
            <w:r>
              <w:rPr>
                <w:sz w:val="22"/>
                <w:szCs w:val="22"/>
              </w:rPr>
              <w:t>Delete “such as” (written twice).</w:t>
            </w:r>
          </w:p>
        </w:tc>
      </w:tr>
      <w:tr w:rsidR="00D67FBC" w:rsidRPr="00E86669" w14:paraId="5AB73FF4" w14:textId="77777777" w:rsidTr="00307697">
        <w:trPr>
          <w:cantSplit/>
          <w:trHeight w:val="233"/>
        </w:trPr>
        <w:tc>
          <w:tcPr>
            <w:tcW w:w="908" w:type="dxa"/>
          </w:tcPr>
          <w:p w14:paraId="64A5EF79" w14:textId="56B0B3AA" w:rsidR="00D67FBC" w:rsidRPr="00E86669" w:rsidRDefault="00D67FBC" w:rsidP="006853C6">
            <w:pPr>
              <w:rPr>
                <w:sz w:val="22"/>
                <w:szCs w:val="22"/>
              </w:rPr>
            </w:pPr>
            <w:r>
              <w:rPr>
                <w:sz w:val="22"/>
                <w:szCs w:val="22"/>
              </w:rPr>
              <w:t>10</w:t>
            </w:r>
          </w:p>
        </w:tc>
        <w:tc>
          <w:tcPr>
            <w:tcW w:w="1255" w:type="dxa"/>
          </w:tcPr>
          <w:p w14:paraId="4CE0F070" w14:textId="6192C5E2" w:rsidR="00D67FBC" w:rsidRPr="00E86669" w:rsidRDefault="00D67FBC" w:rsidP="006853C6">
            <w:pPr>
              <w:rPr>
                <w:sz w:val="22"/>
                <w:szCs w:val="22"/>
              </w:rPr>
            </w:pPr>
            <w:r>
              <w:rPr>
                <w:sz w:val="22"/>
                <w:szCs w:val="22"/>
              </w:rPr>
              <w:t>37-39</w:t>
            </w:r>
          </w:p>
        </w:tc>
        <w:tc>
          <w:tcPr>
            <w:tcW w:w="8025" w:type="dxa"/>
            <w:gridSpan w:val="2"/>
          </w:tcPr>
          <w:p w14:paraId="6C74DFB6" w14:textId="4D076FBC" w:rsidR="00D67FBC" w:rsidRPr="00E86669" w:rsidRDefault="00D67FBC" w:rsidP="006853C6">
            <w:pPr>
              <w:rPr>
                <w:sz w:val="22"/>
                <w:szCs w:val="22"/>
              </w:rPr>
            </w:pPr>
            <w:r>
              <w:rPr>
                <w:sz w:val="22"/>
                <w:szCs w:val="22"/>
              </w:rPr>
              <w:t>In this section, more emphasis could be put on the intended uses of SynBio organisms</w:t>
            </w:r>
            <w:r w:rsidR="0043420C">
              <w:rPr>
                <w:sz w:val="22"/>
                <w:szCs w:val="22"/>
              </w:rPr>
              <w:t xml:space="preserve"> and their intended outcomes</w:t>
            </w:r>
            <w:r w:rsidR="00BC4E35">
              <w:rPr>
                <w:sz w:val="22"/>
                <w:szCs w:val="22"/>
              </w:rPr>
              <w:t xml:space="preserve">, as these aspects will be key for the </w:t>
            </w:r>
            <w:r w:rsidR="00054C78">
              <w:rPr>
                <w:sz w:val="22"/>
                <w:szCs w:val="22"/>
              </w:rPr>
              <w:t>identification of plausible pathways to potential harm</w:t>
            </w:r>
            <w:r w:rsidR="00CE78AF">
              <w:rPr>
                <w:sz w:val="22"/>
                <w:szCs w:val="22"/>
              </w:rPr>
              <w:t xml:space="preserve"> (idem for section 7 on page 11)</w:t>
            </w:r>
          </w:p>
        </w:tc>
      </w:tr>
      <w:tr w:rsidR="006853C6" w:rsidRPr="00E86669" w14:paraId="1C656F45" w14:textId="77777777" w:rsidTr="00307697">
        <w:trPr>
          <w:cantSplit/>
          <w:trHeight w:val="233"/>
        </w:trPr>
        <w:tc>
          <w:tcPr>
            <w:tcW w:w="908" w:type="dxa"/>
          </w:tcPr>
          <w:p w14:paraId="73652C5C" w14:textId="1C09AA9E" w:rsidR="006853C6" w:rsidRPr="00E86669" w:rsidRDefault="006853C6" w:rsidP="006853C6">
            <w:pPr>
              <w:rPr>
                <w:b/>
                <w:bCs/>
                <w:sz w:val="22"/>
                <w:szCs w:val="22"/>
              </w:rPr>
            </w:pPr>
            <w:r w:rsidRPr="00E86669">
              <w:rPr>
                <w:sz w:val="22"/>
                <w:szCs w:val="22"/>
              </w:rPr>
              <w:t>10</w:t>
            </w:r>
          </w:p>
        </w:tc>
        <w:tc>
          <w:tcPr>
            <w:tcW w:w="1255" w:type="dxa"/>
          </w:tcPr>
          <w:p w14:paraId="0B63B7FE" w14:textId="39E3354F" w:rsidR="006853C6" w:rsidRPr="00E86669" w:rsidRDefault="006853C6" w:rsidP="006853C6">
            <w:pPr>
              <w:rPr>
                <w:sz w:val="22"/>
                <w:szCs w:val="22"/>
              </w:rPr>
            </w:pPr>
            <w:r w:rsidRPr="00E86669">
              <w:rPr>
                <w:sz w:val="22"/>
                <w:szCs w:val="22"/>
              </w:rPr>
              <w:t>47</w:t>
            </w:r>
          </w:p>
        </w:tc>
        <w:tc>
          <w:tcPr>
            <w:tcW w:w="8025" w:type="dxa"/>
            <w:gridSpan w:val="2"/>
          </w:tcPr>
          <w:p w14:paraId="0B96346A" w14:textId="38DE4A3C" w:rsidR="006853C6" w:rsidRPr="00E86669" w:rsidRDefault="00D9046A" w:rsidP="006853C6">
            <w:pPr>
              <w:rPr>
                <w:sz w:val="22"/>
                <w:szCs w:val="22"/>
              </w:rPr>
            </w:pPr>
            <w:r w:rsidRPr="00E86669">
              <w:rPr>
                <w:sz w:val="22"/>
                <w:szCs w:val="22"/>
              </w:rPr>
              <w:t xml:space="preserve">The terminology </w:t>
            </w:r>
            <w:r w:rsidR="006853C6" w:rsidRPr="00E86669">
              <w:rPr>
                <w:sz w:val="22"/>
                <w:szCs w:val="22"/>
              </w:rPr>
              <w:t xml:space="preserve">“… reach the market” may not be the most appropriate </w:t>
            </w:r>
            <w:r w:rsidR="00561570">
              <w:rPr>
                <w:sz w:val="22"/>
                <w:szCs w:val="22"/>
              </w:rPr>
              <w:t>one</w:t>
            </w:r>
            <w:r w:rsidR="006853C6" w:rsidRPr="00E86669">
              <w:rPr>
                <w:sz w:val="22"/>
                <w:szCs w:val="22"/>
              </w:rPr>
              <w:t xml:space="preserve"> to use for engineered gene drive applications, as </w:t>
            </w:r>
            <w:r w:rsidR="004C556F" w:rsidRPr="00E86669">
              <w:rPr>
                <w:sz w:val="22"/>
                <w:szCs w:val="22"/>
              </w:rPr>
              <w:t>some of these</w:t>
            </w:r>
            <w:r w:rsidR="006853C6" w:rsidRPr="00E86669">
              <w:rPr>
                <w:sz w:val="22"/>
                <w:szCs w:val="22"/>
              </w:rPr>
              <w:t xml:space="preserve"> applications may include public or non-commercial use</w:t>
            </w:r>
            <w:r w:rsidR="00D4098C">
              <w:rPr>
                <w:sz w:val="22"/>
                <w:szCs w:val="22"/>
              </w:rPr>
              <w:t xml:space="preserve"> (e.g. </w:t>
            </w:r>
            <w:r w:rsidR="006C5AC1">
              <w:rPr>
                <w:sz w:val="22"/>
                <w:szCs w:val="22"/>
              </w:rPr>
              <w:t>philanthropic</w:t>
            </w:r>
            <w:r w:rsidR="004D057B">
              <w:rPr>
                <w:sz w:val="22"/>
                <w:szCs w:val="22"/>
              </w:rPr>
              <w:t>/charitable</w:t>
            </w:r>
            <w:r w:rsidR="006C5AC1">
              <w:rPr>
                <w:sz w:val="22"/>
                <w:szCs w:val="22"/>
              </w:rPr>
              <w:t xml:space="preserve"> purposes)</w:t>
            </w:r>
            <w:r w:rsidR="006853C6" w:rsidRPr="00E86669">
              <w:rPr>
                <w:sz w:val="22"/>
                <w:szCs w:val="22"/>
              </w:rPr>
              <w:t xml:space="preserve">. Perhaps alternative wording </w:t>
            </w:r>
            <w:r w:rsidR="00737B16">
              <w:rPr>
                <w:sz w:val="22"/>
                <w:szCs w:val="22"/>
              </w:rPr>
              <w:t xml:space="preserve">may be needed </w:t>
            </w:r>
            <w:r w:rsidR="006853C6" w:rsidRPr="00E86669">
              <w:rPr>
                <w:sz w:val="22"/>
                <w:szCs w:val="22"/>
              </w:rPr>
              <w:t>for clarity</w:t>
            </w:r>
          </w:p>
        </w:tc>
      </w:tr>
      <w:tr w:rsidR="006853C6" w:rsidRPr="00E86669" w14:paraId="4CEEBB68" w14:textId="77777777" w:rsidTr="00307697">
        <w:trPr>
          <w:cantSplit/>
          <w:trHeight w:val="233"/>
        </w:trPr>
        <w:tc>
          <w:tcPr>
            <w:tcW w:w="908" w:type="dxa"/>
          </w:tcPr>
          <w:p w14:paraId="7A6A7CB6" w14:textId="45FF7EEC" w:rsidR="006853C6" w:rsidRPr="00E86669" w:rsidRDefault="006853C6" w:rsidP="006853C6">
            <w:pPr>
              <w:rPr>
                <w:sz w:val="22"/>
                <w:szCs w:val="22"/>
              </w:rPr>
            </w:pPr>
            <w:r w:rsidRPr="00E86669">
              <w:rPr>
                <w:sz w:val="22"/>
                <w:szCs w:val="22"/>
              </w:rPr>
              <w:t>10</w:t>
            </w:r>
          </w:p>
        </w:tc>
        <w:tc>
          <w:tcPr>
            <w:tcW w:w="1255" w:type="dxa"/>
          </w:tcPr>
          <w:p w14:paraId="623F395E" w14:textId="75B500F1" w:rsidR="006853C6" w:rsidRPr="00E86669" w:rsidRDefault="006853C6" w:rsidP="006853C6">
            <w:pPr>
              <w:rPr>
                <w:sz w:val="22"/>
                <w:szCs w:val="22"/>
              </w:rPr>
            </w:pPr>
            <w:r w:rsidRPr="00E86669">
              <w:rPr>
                <w:sz w:val="22"/>
                <w:szCs w:val="22"/>
              </w:rPr>
              <w:t>47</w:t>
            </w:r>
          </w:p>
        </w:tc>
        <w:tc>
          <w:tcPr>
            <w:tcW w:w="8025" w:type="dxa"/>
            <w:gridSpan w:val="2"/>
          </w:tcPr>
          <w:p w14:paraId="2E88B0AD" w14:textId="163DACF9" w:rsidR="006853C6" w:rsidRPr="00E86669" w:rsidRDefault="00D9046A" w:rsidP="006853C6">
            <w:pPr>
              <w:rPr>
                <w:sz w:val="22"/>
                <w:szCs w:val="22"/>
              </w:rPr>
            </w:pPr>
            <w:r w:rsidRPr="00E86669">
              <w:rPr>
                <w:sz w:val="22"/>
                <w:szCs w:val="22"/>
              </w:rPr>
              <w:t xml:space="preserve">The terminology </w:t>
            </w:r>
            <w:r w:rsidR="006853C6" w:rsidRPr="00E86669">
              <w:rPr>
                <w:sz w:val="22"/>
                <w:szCs w:val="22"/>
              </w:rPr>
              <w:t>“in a few years”</w:t>
            </w:r>
            <w:r w:rsidRPr="00E86669">
              <w:rPr>
                <w:sz w:val="22"/>
                <w:szCs w:val="22"/>
              </w:rPr>
              <w:t xml:space="preserve"> is a bit vague</w:t>
            </w:r>
            <w:r w:rsidR="006853C6" w:rsidRPr="00E86669">
              <w:rPr>
                <w:sz w:val="22"/>
                <w:szCs w:val="22"/>
              </w:rPr>
              <w:t xml:space="preserve">. Can this be made more specific? </w:t>
            </w:r>
          </w:p>
        </w:tc>
      </w:tr>
      <w:tr w:rsidR="003D3108" w:rsidRPr="00E86669" w14:paraId="35F8E547" w14:textId="77777777" w:rsidTr="00307697">
        <w:trPr>
          <w:cantSplit/>
          <w:trHeight w:val="233"/>
        </w:trPr>
        <w:tc>
          <w:tcPr>
            <w:tcW w:w="908" w:type="dxa"/>
          </w:tcPr>
          <w:p w14:paraId="380B3954" w14:textId="77777777" w:rsidR="003D3108" w:rsidRPr="00E86669" w:rsidRDefault="003D3108" w:rsidP="003D3108">
            <w:pPr>
              <w:rPr>
                <w:sz w:val="22"/>
                <w:szCs w:val="22"/>
              </w:rPr>
            </w:pPr>
            <w:r>
              <w:rPr>
                <w:sz w:val="22"/>
                <w:szCs w:val="22"/>
              </w:rPr>
              <w:t>11</w:t>
            </w:r>
          </w:p>
        </w:tc>
        <w:tc>
          <w:tcPr>
            <w:tcW w:w="1255" w:type="dxa"/>
          </w:tcPr>
          <w:p w14:paraId="21A32355" w14:textId="77777777" w:rsidR="003D3108" w:rsidRPr="00E86669" w:rsidRDefault="003D3108" w:rsidP="003D3108">
            <w:pPr>
              <w:rPr>
                <w:sz w:val="22"/>
                <w:szCs w:val="22"/>
              </w:rPr>
            </w:pPr>
            <w:r>
              <w:rPr>
                <w:sz w:val="22"/>
                <w:szCs w:val="22"/>
              </w:rPr>
              <w:t>1-10</w:t>
            </w:r>
          </w:p>
        </w:tc>
        <w:tc>
          <w:tcPr>
            <w:tcW w:w="8025" w:type="dxa"/>
            <w:gridSpan w:val="2"/>
          </w:tcPr>
          <w:p w14:paraId="0A8F493A" w14:textId="55D58B36" w:rsidR="003D3108" w:rsidRPr="00E86669" w:rsidRDefault="003D3108" w:rsidP="003D3108">
            <w:pPr>
              <w:rPr>
                <w:sz w:val="22"/>
                <w:szCs w:val="22"/>
              </w:rPr>
            </w:pPr>
            <w:r>
              <w:rPr>
                <w:sz w:val="22"/>
                <w:szCs w:val="22"/>
              </w:rPr>
              <w:t>The statements made in section 7 are very general, and may need refinement on a case-by-case basis</w:t>
            </w:r>
          </w:p>
        </w:tc>
      </w:tr>
      <w:tr w:rsidR="00873F26" w:rsidRPr="00E86669" w14:paraId="6164568C" w14:textId="77777777" w:rsidTr="00307697">
        <w:trPr>
          <w:cantSplit/>
          <w:trHeight w:val="233"/>
        </w:trPr>
        <w:tc>
          <w:tcPr>
            <w:tcW w:w="908" w:type="dxa"/>
          </w:tcPr>
          <w:p w14:paraId="7C33FD1E" w14:textId="77777777" w:rsidR="00873F26" w:rsidRPr="00E86669" w:rsidRDefault="00873F26" w:rsidP="00873F26">
            <w:pPr>
              <w:rPr>
                <w:sz w:val="22"/>
                <w:szCs w:val="22"/>
              </w:rPr>
            </w:pPr>
            <w:r>
              <w:rPr>
                <w:sz w:val="22"/>
                <w:szCs w:val="22"/>
              </w:rPr>
              <w:t>11</w:t>
            </w:r>
          </w:p>
        </w:tc>
        <w:tc>
          <w:tcPr>
            <w:tcW w:w="1255" w:type="dxa"/>
          </w:tcPr>
          <w:p w14:paraId="718270CA" w14:textId="77777777" w:rsidR="00873F26" w:rsidRPr="00E86669" w:rsidRDefault="00873F26" w:rsidP="00873F26">
            <w:pPr>
              <w:rPr>
                <w:sz w:val="22"/>
                <w:szCs w:val="22"/>
              </w:rPr>
            </w:pPr>
            <w:r>
              <w:rPr>
                <w:sz w:val="22"/>
                <w:szCs w:val="22"/>
              </w:rPr>
              <w:t>11-26</w:t>
            </w:r>
          </w:p>
        </w:tc>
        <w:tc>
          <w:tcPr>
            <w:tcW w:w="8025" w:type="dxa"/>
            <w:gridSpan w:val="2"/>
          </w:tcPr>
          <w:p w14:paraId="35768B95" w14:textId="77777777" w:rsidR="00B901F0" w:rsidRDefault="00873F26" w:rsidP="00873F26">
            <w:pPr>
              <w:rPr>
                <w:sz w:val="22"/>
                <w:szCs w:val="22"/>
              </w:rPr>
            </w:pPr>
            <w:r>
              <w:rPr>
                <w:sz w:val="22"/>
                <w:szCs w:val="22"/>
              </w:rPr>
              <w:t xml:space="preserve">A few cases are presented and used to make generalisations for all </w:t>
            </w:r>
            <w:r w:rsidR="00F328EB">
              <w:rPr>
                <w:sz w:val="22"/>
                <w:szCs w:val="22"/>
              </w:rPr>
              <w:t xml:space="preserve">potential </w:t>
            </w:r>
            <w:r>
              <w:rPr>
                <w:sz w:val="22"/>
                <w:szCs w:val="22"/>
              </w:rPr>
              <w:t xml:space="preserve">SynBio </w:t>
            </w:r>
            <w:r w:rsidR="00F328EB">
              <w:rPr>
                <w:sz w:val="22"/>
                <w:szCs w:val="22"/>
              </w:rPr>
              <w:t>applications</w:t>
            </w:r>
            <w:r>
              <w:rPr>
                <w:sz w:val="22"/>
                <w:szCs w:val="22"/>
              </w:rPr>
              <w:t xml:space="preserve">, which may not necessarily be </w:t>
            </w:r>
            <w:r w:rsidR="00F328EB">
              <w:rPr>
                <w:sz w:val="22"/>
                <w:szCs w:val="22"/>
              </w:rPr>
              <w:t xml:space="preserve">applicable </w:t>
            </w:r>
            <w:r w:rsidR="000418F3">
              <w:rPr>
                <w:sz w:val="22"/>
                <w:szCs w:val="22"/>
              </w:rPr>
              <w:t xml:space="preserve">to all such cases </w:t>
            </w:r>
            <w:r>
              <w:rPr>
                <w:sz w:val="22"/>
                <w:szCs w:val="22"/>
              </w:rPr>
              <w:t>in practice. It may be helpful to avoid making generalisations based on a few case studies only</w:t>
            </w:r>
            <w:r w:rsidR="00B901F0">
              <w:rPr>
                <w:sz w:val="22"/>
                <w:szCs w:val="22"/>
              </w:rPr>
              <w:t>.</w:t>
            </w:r>
          </w:p>
          <w:p w14:paraId="342DF031" w14:textId="3643233B" w:rsidR="00873F26" w:rsidRPr="00E86669" w:rsidRDefault="00B901F0" w:rsidP="00BA733E">
            <w:pPr>
              <w:rPr>
                <w:sz w:val="22"/>
                <w:szCs w:val="22"/>
              </w:rPr>
            </w:pPr>
            <w:r>
              <w:rPr>
                <w:sz w:val="22"/>
                <w:szCs w:val="22"/>
              </w:rPr>
              <w:t>In addition, it is worth noting that most of the considerations in this section are not specific for SynBio.</w:t>
            </w:r>
          </w:p>
        </w:tc>
      </w:tr>
      <w:tr w:rsidR="00B901F0" w:rsidRPr="00E86669" w14:paraId="184BCF46" w14:textId="77777777" w:rsidTr="00307697">
        <w:trPr>
          <w:cantSplit/>
          <w:trHeight w:val="233"/>
        </w:trPr>
        <w:tc>
          <w:tcPr>
            <w:tcW w:w="908" w:type="dxa"/>
          </w:tcPr>
          <w:p w14:paraId="5C8CEDD8" w14:textId="620E7631" w:rsidR="00B901F0" w:rsidRDefault="00B901F0" w:rsidP="00873F26">
            <w:pPr>
              <w:rPr>
                <w:sz w:val="22"/>
                <w:szCs w:val="22"/>
              </w:rPr>
            </w:pPr>
            <w:r>
              <w:rPr>
                <w:sz w:val="22"/>
                <w:szCs w:val="22"/>
              </w:rPr>
              <w:t>11</w:t>
            </w:r>
          </w:p>
        </w:tc>
        <w:tc>
          <w:tcPr>
            <w:tcW w:w="1255" w:type="dxa"/>
          </w:tcPr>
          <w:p w14:paraId="258D659E" w14:textId="72B86515" w:rsidR="00B901F0" w:rsidRDefault="00B901F0" w:rsidP="00873F26">
            <w:pPr>
              <w:rPr>
                <w:sz w:val="22"/>
                <w:szCs w:val="22"/>
              </w:rPr>
            </w:pPr>
            <w:r>
              <w:rPr>
                <w:sz w:val="22"/>
                <w:szCs w:val="22"/>
              </w:rPr>
              <w:t>30-31</w:t>
            </w:r>
          </w:p>
        </w:tc>
        <w:tc>
          <w:tcPr>
            <w:tcW w:w="8025" w:type="dxa"/>
            <w:gridSpan w:val="2"/>
          </w:tcPr>
          <w:p w14:paraId="3C801253" w14:textId="2DCDBF30" w:rsidR="00B901F0" w:rsidRDefault="00B901F0" w:rsidP="00B901F0">
            <w:pPr>
              <w:rPr>
                <w:sz w:val="22"/>
                <w:szCs w:val="22"/>
              </w:rPr>
            </w:pPr>
            <w:r>
              <w:rPr>
                <w:sz w:val="22"/>
                <w:szCs w:val="22"/>
              </w:rPr>
              <w:t>The statement that “local communities are most likely to be impacted first” is a generalisation that does not apply to all cases, since the impacts and impacted stakeholders will depend on the specific application. We suggest to replace with “local communities may be those to be impacted first”.</w:t>
            </w:r>
          </w:p>
        </w:tc>
      </w:tr>
      <w:tr w:rsidR="00BC177A" w:rsidRPr="00E86669" w14:paraId="4EA8E8A3" w14:textId="77777777" w:rsidTr="00307697">
        <w:trPr>
          <w:cantSplit/>
          <w:trHeight w:val="233"/>
        </w:trPr>
        <w:tc>
          <w:tcPr>
            <w:tcW w:w="908" w:type="dxa"/>
          </w:tcPr>
          <w:p w14:paraId="731F957C" w14:textId="0D29A7D9" w:rsidR="00BC177A" w:rsidRPr="00E86669" w:rsidRDefault="00BC177A" w:rsidP="00BC177A">
            <w:pPr>
              <w:rPr>
                <w:sz w:val="22"/>
                <w:szCs w:val="22"/>
              </w:rPr>
            </w:pPr>
            <w:r>
              <w:rPr>
                <w:sz w:val="22"/>
                <w:szCs w:val="22"/>
              </w:rPr>
              <w:t>11</w:t>
            </w:r>
          </w:p>
        </w:tc>
        <w:tc>
          <w:tcPr>
            <w:tcW w:w="1255" w:type="dxa"/>
          </w:tcPr>
          <w:p w14:paraId="1DB6AFBC" w14:textId="5D984B78" w:rsidR="00BC177A" w:rsidRPr="00E86669" w:rsidRDefault="00936822" w:rsidP="00BC177A">
            <w:pPr>
              <w:rPr>
                <w:sz w:val="22"/>
                <w:szCs w:val="22"/>
              </w:rPr>
            </w:pPr>
            <w:r>
              <w:rPr>
                <w:sz w:val="22"/>
                <w:szCs w:val="22"/>
              </w:rPr>
              <w:t>42</w:t>
            </w:r>
            <w:r w:rsidR="00BC177A">
              <w:rPr>
                <w:sz w:val="22"/>
                <w:szCs w:val="22"/>
              </w:rPr>
              <w:t>-</w:t>
            </w:r>
            <w:r>
              <w:rPr>
                <w:sz w:val="22"/>
                <w:szCs w:val="22"/>
              </w:rPr>
              <w:t>43</w:t>
            </w:r>
          </w:p>
        </w:tc>
        <w:tc>
          <w:tcPr>
            <w:tcW w:w="8025" w:type="dxa"/>
            <w:gridSpan w:val="2"/>
          </w:tcPr>
          <w:p w14:paraId="7AD24B05" w14:textId="77777777" w:rsidR="00456601" w:rsidRDefault="00936822" w:rsidP="00BC177A">
            <w:pPr>
              <w:rPr>
                <w:sz w:val="22"/>
                <w:szCs w:val="22"/>
              </w:rPr>
            </w:pPr>
            <w:r>
              <w:rPr>
                <w:sz w:val="22"/>
                <w:szCs w:val="22"/>
              </w:rPr>
              <w:t xml:space="preserve">It would be helpful to clarify better </w:t>
            </w:r>
            <w:r w:rsidR="00306C9D">
              <w:rPr>
                <w:sz w:val="22"/>
                <w:szCs w:val="22"/>
              </w:rPr>
              <w:t>whether</w:t>
            </w:r>
            <w:r>
              <w:rPr>
                <w:sz w:val="22"/>
                <w:szCs w:val="22"/>
              </w:rPr>
              <w:t xml:space="preserve"> such an engagement is needed for </w:t>
            </w:r>
            <w:r w:rsidR="00306C9D">
              <w:rPr>
                <w:sz w:val="22"/>
                <w:szCs w:val="22"/>
              </w:rPr>
              <w:t xml:space="preserve">all </w:t>
            </w:r>
            <w:r>
              <w:rPr>
                <w:sz w:val="22"/>
                <w:szCs w:val="22"/>
              </w:rPr>
              <w:t xml:space="preserve">SynBio </w:t>
            </w:r>
            <w:r w:rsidR="00306C9D">
              <w:rPr>
                <w:sz w:val="22"/>
                <w:szCs w:val="22"/>
              </w:rPr>
              <w:t xml:space="preserve">applications or specific </w:t>
            </w:r>
            <w:r w:rsidR="00456601">
              <w:rPr>
                <w:sz w:val="22"/>
                <w:szCs w:val="22"/>
              </w:rPr>
              <w:t xml:space="preserve">applications </w:t>
            </w:r>
            <w:r w:rsidR="00306C9D">
              <w:rPr>
                <w:sz w:val="22"/>
                <w:szCs w:val="22"/>
              </w:rPr>
              <w:t xml:space="preserve">only. </w:t>
            </w:r>
          </w:p>
          <w:p w14:paraId="1CA6CFFC" w14:textId="77777777" w:rsidR="00456601" w:rsidRDefault="00456601" w:rsidP="00BC177A">
            <w:pPr>
              <w:rPr>
                <w:sz w:val="22"/>
                <w:szCs w:val="22"/>
              </w:rPr>
            </w:pPr>
          </w:p>
          <w:p w14:paraId="0480722D" w14:textId="2EE0EF7F" w:rsidR="00BC177A" w:rsidRPr="00E86669" w:rsidRDefault="00306C9D" w:rsidP="00BC177A">
            <w:pPr>
              <w:rPr>
                <w:sz w:val="22"/>
                <w:szCs w:val="22"/>
              </w:rPr>
            </w:pPr>
            <w:r>
              <w:rPr>
                <w:sz w:val="22"/>
                <w:szCs w:val="22"/>
              </w:rPr>
              <w:t xml:space="preserve">Moreover, the need for </w:t>
            </w:r>
            <w:r w:rsidR="00456601">
              <w:rPr>
                <w:sz w:val="22"/>
                <w:szCs w:val="22"/>
              </w:rPr>
              <w:t xml:space="preserve">such </w:t>
            </w:r>
            <w:r>
              <w:rPr>
                <w:sz w:val="22"/>
                <w:szCs w:val="22"/>
              </w:rPr>
              <w:t xml:space="preserve">engagement should be </w:t>
            </w:r>
            <w:r w:rsidR="008C7F3D">
              <w:rPr>
                <w:sz w:val="22"/>
                <w:szCs w:val="22"/>
              </w:rPr>
              <w:t>better explained</w:t>
            </w:r>
            <w:r w:rsidR="00456601">
              <w:rPr>
                <w:sz w:val="22"/>
                <w:szCs w:val="22"/>
              </w:rPr>
              <w:t xml:space="preserve">, </w:t>
            </w:r>
            <w:r w:rsidR="00AA59E1">
              <w:rPr>
                <w:sz w:val="22"/>
                <w:szCs w:val="22"/>
              </w:rPr>
              <w:t xml:space="preserve">and be put in the context of </w:t>
            </w:r>
            <w:r w:rsidR="00456601">
              <w:rPr>
                <w:sz w:val="22"/>
                <w:szCs w:val="22"/>
              </w:rPr>
              <w:t>contemporary GMOs</w:t>
            </w:r>
            <w:r w:rsidR="008C4103">
              <w:rPr>
                <w:sz w:val="22"/>
                <w:szCs w:val="22"/>
              </w:rPr>
              <w:t xml:space="preserve"> </w:t>
            </w:r>
            <w:r w:rsidR="000A3C2A">
              <w:rPr>
                <w:sz w:val="22"/>
                <w:szCs w:val="22"/>
              </w:rPr>
              <w:t>(in terms of lessons learnt)</w:t>
            </w:r>
          </w:p>
        </w:tc>
      </w:tr>
      <w:tr w:rsidR="006853C6" w:rsidRPr="00E86669" w14:paraId="4A4D44A2" w14:textId="77777777" w:rsidTr="00307697">
        <w:trPr>
          <w:cantSplit/>
          <w:trHeight w:val="233"/>
        </w:trPr>
        <w:tc>
          <w:tcPr>
            <w:tcW w:w="908" w:type="dxa"/>
          </w:tcPr>
          <w:p w14:paraId="7D986775" w14:textId="48AB62BA" w:rsidR="006853C6" w:rsidRPr="00E86669" w:rsidRDefault="006853C6" w:rsidP="006853C6">
            <w:pPr>
              <w:rPr>
                <w:sz w:val="22"/>
                <w:szCs w:val="22"/>
              </w:rPr>
            </w:pPr>
          </w:p>
        </w:tc>
        <w:tc>
          <w:tcPr>
            <w:tcW w:w="1255" w:type="dxa"/>
          </w:tcPr>
          <w:p w14:paraId="5AC5FC2C" w14:textId="71F760AB" w:rsidR="006853C6" w:rsidRPr="00E86669" w:rsidRDefault="006853C6" w:rsidP="006853C6">
            <w:pPr>
              <w:rPr>
                <w:sz w:val="22"/>
                <w:szCs w:val="22"/>
              </w:rPr>
            </w:pPr>
          </w:p>
        </w:tc>
        <w:tc>
          <w:tcPr>
            <w:tcW w:w="8025" w:type="dxa"/>
            <w:gridSpan w:val="2"/>
          </w:tcPr>
          <w:p w14:paraId="786809CF" w14:textId="623BE76B" w:rsidR="006853C6" w:rsidRPr="00E86669" w:rsidRDefault="006853C6" w:rsidP="006853C6">
            <w:pPr>
              <w:rPr>
                <w:sz w:val="22"/>
                <w:szCs w:val="22"/>
              </w:rPr>
            </w:pPr>
          </w:p>
        </w:tc>
      </w:tr>
      <w:tr w:rsidR="00602F21" w:rsidRPr="00E86669" w14:paraId="6CE4205D" w14:textId="77777777" w:rsidTr="00307697">
        <w:trPr>
          <w:cantSplit/>
          <w:trHeight w:val="233"/>
        </w:trPr>
        <w:tc>
          <w:tcPr>
            <w:tcW w:w="908" w:type="dxa"/>
          </w:tcPr>
          <w:p w14:paraId="181D90E0" w14:textId="3C4A04A5" w:rsidR="00602F21" w:rsidRPr="00E86669" w:rsidRDefault="00602F21" w:rsidP="006853C6">
            <w:pPr>
              <w:rPr>
                <w:sz w:val="22"/>
                <w:szCs w:val="22"/>
              </w:rPr>
            </w:pPr>
            <w:r>
              <w:rPr>
                <w:sz w:val="22"/>
                <w:szCs w:val="22"/>
              </w:rPr>
              <w:t>12</w:t>
            </w:r>
          </w:p>
        </w:tc>
        <w:tc>
          <w:tcPr>
            <w:tcW w:w="1255" w:type="dxa"/>
          </w:tcPr>
          <w:p w14:paraId="414B94A0" w14:textId="7F6FDAF5" w:rsidR="00602F21" w:rsidRPr="00E86669" w:rsidRDefault="00602F21" w:rsidP="006853C6">
            <w:pPr>
              <w:rPr>
                <w:sz w:val="22"/>
                <w:szCs w:val="22"/>
              </w:rPr>
            </w:pPr>
            <w:r>
              <w:rPr>
                <w:sz w:val="22"/>
                <w:szCs w:val="22"/>
              </w:rPr>
              <w:t>23</w:t>
            </w:r>
          </w:p>
        </w:tc>
        <w:tc>
          <w:tcPr>
            <w:tcW w:w="8025" w:type="dxa"/>
            <w:gridSpan w:val="2"/>
          </w:tcPr>
          <w:p w14:paraId="0B91A142" w14:textId="68503E03" w:rsidR="00602F21" w:rsidRPr="001A11C0" w:rsidRDefault="00602F21" w:rsidP="006853C6">
            <w:pPr>
              <w:rPr>
                <w:sz w:val="22"/>
                <w:szCs w:val="22"/>
              </w:rPr>
            </w:pPr>
            <w:r w:rsidRPr="001A11C0">
              <w:rPr>
                <w:sz w:val="22"/>
                <w:szCs w:val="22"/>
              </w:rPr>
              <w:t>Incomplete sentence.</w:t>
            </w:r>
          </w:p>
        </w:tc>
      </w:tr>
      <w:tr w:rsidR="00602F21" w:rsidRPr="00E86669" w14:paraId="7304167E" w14:textId="77777777" w:rsidTr="00307697">
        <w:trPr>
          <w:cantSplit/>
          <w:trHeight w:val="233"/>
        </w:trPr>
        <w:tc>
          <w:tcPr>
            <w:tcW w:w="908" w:type="dxa"/>
          </w:tcPr>
          <w:p w14:paraId="44B2E5D3" w14:textId="6A6A308D" w:rsidR="00602F21" w:rsidRDefault="00602F21" w:rsidP="006853C6">
            <w:pPr>
              <w:rPr>
                <w:sz w:val="22"/>
                <w:szCs w:val="22"/>
              </w:rPr>
            </w:pPr>
            <w:r>
              <w:rPr>
                <w:sz w:val="22"/>
                <w:szCs w:val="22"/>
              </w:rPr>
              <w:t>13</w:t>
            </w:r>
          </w:p>
        </w:tc>
        <w:tc>
          <w:tcPr>
            <w:tcW w:w="1255" w:type="dxa"/>
          </w:tcPr>
          <w:p w14:paraId="1E27AF30" w14:textId="499D9B41" w:rsidR="00602F21" w:rsidRDefault="00602F21" w:rsidP="006853C6">
            <w:pPr>
              <w:rPr>
                <w:sz w:val="22"/>
                <w:szCs w:val="22"/>
              </w:rPr>
            </w:pPr>
            <w:r>
              <w:rPr>
                <w:sz w:val="22"/>
                <w:szCs w:val="22"/>
              </w:rPr>
              <w:t>13</w:t>
            </w:r>
          </w:p>
        </w:tc>
        <w:tc>
          <w:tcPr>
            <w:tcW w:w="8025" w:type="dxa"/>
            <w:gridSpan w:val="2"/>
          </w:tcPr>
          <w:p w14:paraId="73788E9D" w14:textId="309C2B0E" w:rsidR="00602F21" w:rsidRPr="001A11C0" w:rsidRDefault="00602F21" w:rsidP="006853C6">
            <w:pPr>
              <w:rPr>
                <w:sz w:val="22"/>
                <w:szCs w:val="22"/>
              </w:rPr>
            </w:pPr>
            <w:r w:rsidRPr="001A11C0">
              <w:rPr>
                <w:sz w:val="22"/>
                <w:szCs w:val="22"/>
              </w:rPr>
              <w:t>Replace “impacts” with “products”. Activities and products are regulated, not impacts.</w:t>
            </w:r>
          </w:p>
        </w:tc>
      </w:tr>
      <w:tr w:rsidR="006853C6" w:rsidRPr="00E86669" w14:paraId="12F556C9" w14:textId="77777777" w:rsidTr="00FA4010">
        <w:trPr>
          <w:cantSplit/>
          <w:trHeight w:val="233"/>
        </w:trPr>
        <w:tc>
          <w:tcPr>
            <w:tcW w:w="908" w:type="dxa"/>
          </w:tcPr>
          <w:p w14:paraId="114ECD33" w14:textId="2A85AEAF" w:rsidR="006853C6" w:rsidRPr="00E86669" w:rsidRDefault="001A7A21" w:rsidP="006853C6">
            <w:pPr>
              <w:rPr>
                <w:sz w:val="22"/>
                <w:szCs w:val="22"/>
              </w:rPr>
            </w:pPr>
            <w:r w:rsidRPr="00E86669">
              <w:rPr>
                <w:sz w:val="22"/>
                <w:szCs w:val="22"/>
              </w:rPr>
              <w:t>13</w:t>
            </w:r>
          </w:p>
        </w:tc>
        <w:tc>
          <w:tcPr>
            <w:tcW w:w="1255" w:type="dxa"/>
          </w:tcPr>
          <w:p w14:paraId="1722E8E8" w14:textId="31E98D5E" w:rsidR="006853C6" w:rsidRPr="00E86669" w:rsidRDefault="001A7A21" w:rsidP="006853C6">
            <w:pPr>
              <w:rPr>
                <w:sz w:val="22"/>
                <w:szCs w:val="22"/>
              </w:rPr>
            </w:pPr>
            <w:r w:rsidRPr="00E86669">
              <w:rPr>
                <w:sz w:val="22"/>
                <w:szCs w:val="22"/>
              </w:rPr>
              <w:t>40 (Table 1)</w:t>
            </w:r>
          </w:p>
        </w:tc>
        <w:tc>
          <w:tcPr>
            <w:tcW w:w="8025" w:type="dxa"/>
            <w:gridSpan w:val="2"/>
            <w:shd w:val="clear" w:color="auto" w:fill="auto"/>
          </w:tcPr>
          <w:p w14:paraId="28EDE3A9" w14:textId="7A138DA4" w:rsidR="006853C6" w:rsidRPr="00FA4010" w:rsidRDefault="00004C93" w:rsidP="006853C6">
            <w:pPr>
              <w:rPr>
                <w:sz w:val="22"/>
                <w:szCs w:val="22"/>
              </w:rPr>
            </w:pPr>
            <w:r w:rsidRPr="00FA4010">
              <w:rPr>
                <w:sz w:val="22"/>
                <w:szCs w:val="22"/>
              </w:rPr>
              <w:t xml:space="preserve">The terminology </w:t>
            </w:r>
            <w:r w:rsidR="001A7A21" w:rsidRPr="00FA4010">
              <w:rPr>
                <w:sz w:val="22"/>
                <w:szCs w:val="22"/>
              </w:rPr>
              <w:t>“</w:t>
            </w:r>
            <w:r w:rsidRPr="00FA4010">
              <w:rPr>
                <w:sz w:val="22"/>
                <w:szCs w:val="22"/>
              </w:rPr>
              <w:t>c</w:t>
            </w:r>
            <w:r w:rsidR="001A7A21" w:rsidRPr="00FA4010">
              <w:rPr>
                <w:sz w:val="22"/>
                <w:szCs w:val="22"/>
              </w:rPr>
              <w:t>ommercially available”</w:t>
            </w:r>
            <w:r w:rsidRPr="00FA4010">
              <w:rPr>
                <w:sz w:val="22"/>
                <w:szCs w:val="22"/>
              </w:rPr>
              <w:t xml:space="preserve"> </w:t>
            </w:r>
            <w:r w:rsidR="00AB1060" w:rsidRPr="00FA4010">
              <w:rPr>
                <w:sz w:val="22"/>
                <w:szCs w:val="22"/>
              </w:rPr>
              <w:t xml:space="preserve">may not be the most appropriate </w:t>
            </w:r>
            <w:r w:rsidR="00561570" w:rsidRPr="00FA4010">
              <w:rPr>
                <w:sz w:val="22"/>
                <w:szCs w:val="22"/>
              </w:rPr>
              <w:t>one</w:t>
            </w:r>
            <w:r w:rsidR="00AB1060" w:rsidRPr="00FA4010">
              <w:rPr>
                <w:sz w:val="22"/>
                <w:szCs w:val="22"/>
              </w:rPr>
              <w:t xml:space="preserve"> to use for engineered gene drive applications, as some of these applications may include public or non-commercial use (e.g. philanthropic/charitable purposes). Perhaps alternative wording may be needed for clarity</w:t>
            </w:r>
          </w:p>
          <w:p w14:paraId="3E7717B7" w14:textId="77777777" w:rsidR="007817F8" w:rsidRPr="00FA4010" w:rsidRDefault="007817F8" w:rsidP="006853C6">
            <w:pPr>
              <w:rPr>
                <w:sz w:val="22"/>
                <w:szCs w:val="22"/>
              </w:rPr>
            </w:pPr>
          </w:p>
          <w:p w14:paraId="5CEC1F4F" w14:textId="77777777" w:rsidR="007817F8" w:rsidRPr="00FA4010" w:rsidRDefault="0043135E" w:rsidP="006853C6">
            <w:pPr>
              <w:rPr>
                <w:sz w:val="22"/>
                <w:szCs w:val="22"/>
              </w:rPr>
            </w:pPr>
            <w:r w:rsidRPr="00FA4010">
              <w:rPr>
                <w:sz w:val="22"/>
                <w:szCs w:val="22"/>
              </w:rPr>
              <w:t xml:space="preserve">It may be more </w:t>
            </w:r>
            <w:r w:rsidR="007817F8" w:rsidRPr="00FA4010">
              <w:rPr>
                <w:sz w:val="22"/>
                <w:szCs w:val="22"/>
              </w:rPr>
              <w:t xml:space="preserve">helpful to present the table in the core text </w:t>
            </w:r>
            <w:r w:rsidR="007C71E1" w:rsidRPr="00FA4010">
              <w:rPr>
                <w:sz w:val="22"/>
                <w:szCs w:val="22"/>
              </w:rPr>
              <w:t xml:space="preserve">than in </w:t>
            </w:r>
            <w:r w:rsidR="007817F8" w:rsidRPr="00FA4010">
              <w:rPr>
                <w:sz w:val="22"/>
                <w:szCs w:val="22"/>
              </w:rPr>
              <w:t>the summary</w:t>
            </w:r>
            <w:r w:rsidR="00A43176" w:rsidRPr="00FA4010">
              <w:rPr>
                <w:sz w:val="22"/>
                <w:szCs w:val="22"/>
              </w:rPr>
              <w:t xml:space="preserve"> of the report</w:t>
            </w:r>
            <w:r w:rsidR="003C7EEB" w:rsidRPr="00FA4010">
              <w:rPr>
                <w:sz w:val="22"/>
                <w:szCs w:val="22"/>
              </w:rPr>
              <w:t>, or</w:t>
            </w:r>
            <w:r w:rsidR="005E5B09" w:rsidRPr="00FA4010">
              <w:rPr>
                <w:sz w:val="22"/>
                <w:szCs w:val="22"/>
              </w:rPr>
              <w:t xml:space="preserve"> twice,</w:t>
            </w:r>
            <w:r w:rsidR="003C7EEB" w:rsidRPr="00FA4010">
              <w:rPr>
                <w:sz w:val="22"/>
                <w:szCs w:val="22"/>
              </w:rPr>
              <w:t xml:space="preserve"> both in the </w:t>
            </w:r>
            <w:r w:rsidR="005E5B09" w:rsidRPr="00FA4010">
              <w:rPr>
                <w:sz w:val="22"/>
                <w:szCs w:val="22"/>
              </w:rPr>
              <w:t>summary and core text</w:t>
            </w:r>
            <w:r w:rsidR="00A43176" w:rsidRPr="00FA4010">
              <w:rPr>
                <w:sz w:val="22"/>
                <w:szCs w:val="22"/>
              </w:rPr>
              <w:t>.</w:t>
            </w:r>
            <w:r w:rsidR="00D01378" w:rsidRPr="00FA4010">
              <w:rPr>
                <w:sz w:val="22"/>
                <w:szCs w:val="22"/>
              </w:rPr>
              <w:t xml:space="preserve"> </w:t>
            </w:r>
          </w:p>
          <w:p w14:paraId="082473ED" w14:textId="77777777" w:rsidR="00602F21" w:rsidRPr="00FA4010" w:rsidRDefault="00602F21" w:rsidP="006853C6">
            <w:pPr>
              <w:rPr>
                <w:sz w:val="22"/>
                <w:szCs w:val="22"/>
              </w:rPr>
            </w:pPr>
          </w:p>
          <w:p w14:paraId="6338F713" w14:textId="6317443F" w:rsidR="003641EB" w:rsidRPr="00FA4010" w:rsidRDefault="003641EB" w:rsidP="003641EB">
            <w:pPr>
              <w:jc w:val="both"/>
              <w:rPr>
                <w:sz w:val="22"/>
                <w:szCs w:val="22"/>
                <w:lang w:val="en-US"/>
              </w:rPr>
            </w:pPr>
            <w:r w:rsidRPr="00FA4010">
              <w:rPr>
                <w:sz w:val="22"/>
                <w:szCs w:val="22"/>
                <w:lang w:val="en-US"/>
              </w:rPr>
              <w:t>As stated in the text on page 15 lines 19-23, “the authors recognise that some of the processes or products described in this document may not be considered as synthetic biology approaches and applications by all readers, however the broadest interpretation has been made in order to be as inclusive as possible whilst at the same time not championing this interpretation as being definitive”. Taking into account the definition of synthetic biology, the simple use of genome editing techniques does not make a product a synbio product. In the light of this definition, table 1 presents some applications whose classification under synthetic biology is not justified (e.g. general reference to “genome edited crop plants and farm animals”, in the column on “advanced developments”, and specific reference to “genome edited soya bean and oilseed rape” in the column on “commercially available” applications). We recommend to:</w:t>
            </w:r>
          </w:p>
          <w:p w14:paraId="1B6B7589" w14:textId="77777777" w:rsidR="003641EB" w:rsidRPr="00FA4010" w:rsidRDefault="003641EB" w:rsidP="003641EB">
            <w:pPr>
              <w:pStyle w:val="ListParagraph"/>
              <w:numPr>
                <w:ilvl w:val="0"/>
                <w:numId w:val="4"/>
              </w:numPr>
              <w:contextualSpacing w:val="0"/>
              <w:jc w:val="both"/>
              <w:rPr>
                <w:sz w:val="22"/>
                <w:szCs w:val="22"/>
                <w:lang w:val="en-US"/>
              </w:rPr>
            </w:pPr>
            <w:r w:rsidRPr="00FA4010">
              <w:rPr>
                <w:sz w:val="22"/>
                <w:szCs w:val="22"/>
                <w:lang w:val="en-US"/>
              </w:rPr>
              <w:t>Replace “genome edited crop plants and farm animals” with “synbio applications of genome edited crop plants and farm animals”.</w:t>
            </w:r>
          </w:p>
          <w:p w14:paraId="0488D640" w14:textId="77777777" w:rsidR="003641EB" w:rsidRPr="00FA4010" w:rsidRDefault="003641EB" w:rsidP="003641EB">
            <w:pPr>
              <w:pStyle w:val="ListParagraph"/>
              <w:numPr>
                <w:ilvl w:val="0"/>
                <w:numId w:val="4"/>
              </w:numPr>
              <w:contextualSpacing w:val="0"/>
              <w:jc w:val="both"/>
              <w:rPr>
                <w:sz w:val="22"/>
                <w:szCs w:val="22"/>
                <w:lang w:val="en-US"/>
              </w:rPr>
            </w:pPr>
            <w:r w:rsidRPr="00FA4010">
              <w:rPr>
                <w:sz w:val="22"/>
                <w:szCs w:val="22"/>
                <w:lang w:val="en-US"/>
              </w:rPr>
              <w:lastRenderedPageBreak/>
              <w:t>Delete “genome edited soya bean and oilseed rape” from Table 1 and other sections of the document.</w:t>
            </w:r>
          </w:p>
          <w:p w14:paraId="314DDBC8" w14:textId="2DC5D579" w:rsidR="00602F21" w:rsidRPr="00FA4010" w:rsidRDefault="003641EB" w:rsidP="003641EB">
            <w:pPr>
              <w:pStyle w:val="ListParagraph"/>
              <w:numPr>
                <w:ilvl w:val="0"/>
                <w:numId w:val="4"/>
              </w:numPr>
              <w:contextualSpacing w:val="0"/>
              <w:jc w:val="both"/>
              <w:rPr>
                <w:sz w:val="22"/>
                <w:szCs w:val="22"/>
                <w:lang w:val="en-US"/>
              </w:rPr>
            </w:pPr>
            <w:r w:rsidRPr="00FA4010">
              <w:rPr>
                <w:sz w:val="22"/>
                <w:szCs w:val="22"/>
                <w:lang w:val="en-US"/>
              </w:rPr>
              <w:t xml:space="preserve">include the disclaimer above in Table 1 </w:t>
            </w:r>
            <w:r w:rsidR="00EC2627" w:rsidRPr="00FA4010">
              <w:rPr>
                <w:sz w:val="22"/>
                <w:szCs w:val="22"/>
              </w:rPr>
              <w:t>and also in other relevant parts of the document (e.g. page 31, section 3.2.)</w:t>
            </w:r>
          </w:p>
        </w:tc>
      </w:tr>
      <w:tr w:rsidR="007422D2" w:rsidRPr="00E86669" w14:paraId="080F9DB5" w14:textId="77777777" w:rsidTr="00307697">
        <w:trPr>
          <w:cantSplit/>
          <w:trHeight w:val="233"/>
        </w:trPr>
        <w:tc>
          <w:tcPr>
            <w:tcW w:w="908" w:type="dxa"/>
          </w:tcPr>
          <w:p w14:paraId="7B02E8EF" w14:textId="5ADDD157" w:rsidR="007422D2" w:rsidRPr="00E86669" w:rsidRDefault="007422D2" w:rsidP="006853C6">
            <w:pPr>
              <w:rPr>
                <w:sz w:val="22"/>
                <w:szCs w:val="22"/>
              </w:rPr>
            </w:pPr>
            <w:r>
              <w:rPr>
                <w:sz w:val="22"/>
                <w:szCs w:val="22"/>
              </w:rPr>
              <w:lastRenderedPageBreak/>
              <w:t>15</w:t>
            </w:r>
          </w:p>
        </w:tc>
        <w:tc>
          <w:tcPr>
            <w:tcW w:w="1255" w:type="dxa"/>
          </w:tcPr>
          <w:p w14:paraId="39AF0BB1" w14:textId="2916D4E6" w:rsidR="007422D2" w:rsidRPr="00E86669" w:rsidRDefault="007422D2" w:rsidP="006853C6">
            <w:pPr>
              <w:rPr>
                <w:sz w:val="22"/>
                <w:szCs w:val="22"/>
              </w:rPr>
            </w:pPr>
            <w:r>
              <w:rPr>
                <w:sz w:val="22"/>
                <w:szCs w:val="22"/>
              </w:rPr>
              <w:t>19-23</w:t>
            </w:r>
          </w:p>
        </w:tc>
        <w:tc>
          <w:tcPr>
            <w:tcW w:w="8025" w:type="dxa"/>
            <w:gridSpan w:val="2"/>
          </w:tcPr>
          <w:p w14:paraId="0B604A50" w14:textId="38D1F6D4" w:rsidR="007422D2" w:rsidRPr="00FA4010" w:rsidRDefault="007422D2" w:rsidP="007422D2">
            <w:pPr>
              <w:rPr>
                <w:sz w:val="22"/>
                <w:szCs w:val="22"/>
              </w:rPr>
            </w:pPr>
            <w:r w:rsidRPr="00FA4010">
              <w:rPr>
                <w:sz w:val="22"/>
                <w:szCs w:val="22"/>
              </w:rPr>
              <w:t>As mentioned above, we recommend to include this disclaimer also in Table 1.</w:t>
            </w:r>
          </w:p>
        </w:tc>
      </w:tr>
      <w:tr w:rsidR="006853C6" w:rsidRPr="00E86669" w14:paraId="786AB29D" w14:textId="77777777" w:rsidTr="00307697">
        <w:trPr>
          <w:cantSplit/>
          <w:trHeight w:val="233"/>
        </w:trPr>
        <w:tc>
          <w:tcPr>
            <w:tcW w:w="908" w:type="dxa"/>
          </w:tcPr>
          <w:p w14:paraId="690F094D" w14:textId="0D51BC3F" w:rsidR="006853C6" w:rsidRPr="00E86669" w:rsidRDefault="00B91CEF" w:rsidP="006853C6">
            <w:pPr>
              <w:rPr>
                <w:sz w:val="22"/>
                <w:szCs w:val="22"/>
              </w:rPr>
            </w:pPr>
            <w:r w:rsidRPr="00E86669">
              <w:rPr>
                <w:sz w:val="22"/>
                <w:szCs w:val="22"/>
              </w:rPr>
              <w:t>19</w:t>
            </w:r>
          </w:p>
        </w:tc>
        <w:tc>
          <w:tcPr>
            <w:tcW w:w="1255" w:type="dxa"/>
          </w:tcPr>
          <w:p w14:paraId="00E4B63A" w14:textId="05D7EF3B" w:rsidR="006853C6" w:rsidRPr="00E86669" w:rsidRDefault="0014471C" w:rsidP="006853C6">
            <w:pPr>
              <w:rPr>
                <w:sz w:val="22"/>
                <w:szCs w:val="22"/>
              </w:rPr>
            </w:pPr>
            <w:r w:rsidRPr="00E86669">
              <w:rPr>
                <w:sz w:val="22"/>
                <w:szCs w:val="22"/>
              </w:rPr>
              <w:t>27-28</w:t>
            </w:r>
          </w:p>
        </w:tc>
        <w:tc>
          <w:tcPr>
            <w:tcW w:w="8025" w:type="dxa"/>
            <w:gridSpan w:val="2"/>
          </w:tcPr>
          <w:p w14:paraId="11B336F4" w14:textId="56FF8F7F" w:rsidR="00C84284" w:rsidRPr="00FA4010" w:rsidRDefault="00400B2E" w:rsidP="00C84284">
            <w:pPr>
              <w:rPr>
                <w:sz w:val="22"/>
                <w:szCs w:val="22"/>
              </w:rPr>
            </w:pPr>
            <w:r w:rsidRPr="00FA4010">
              <w:rPr>
                <w:sz w:val="22"/>
                <w:szCs w:val="22"/>
              </w:rPr>
              <w:t xml:space="preserve">Not sure that “circumvent” is the </w:t>
            </w:r>
            <w:r w:rsidR="00FD19D2" w:rsidRPr="00FA4010">
              <w:rPr>
                <w:sz w:val="22"/>
                <w:szCs w:val="22"/>
              </w:rPr>
              <w:t>appropriate</w:t>
            </w:r>
            <w:r w:rsidRPr="00FA4010">
              <w:rPr>
                <w:sz w:val="22"/>
                <w:szCs w:val="22"/>
              </w:rPr>
              <w:t xml:space="preserve"> term to use. </w:t>
            </w:r>
            <w:r w:rsidR="00A31AF4" w:rsidRPr="00FA4010">
              <w:rPr>
                <w:sz w:val="22"/>
                <w:szCs w:val="22"/>
              </w:rPr>
              <w:t>Given that</w:t>
            </w:r>
            <w:r w:rsidRPr="00FA4010">
              <w:rPr>
                <w:sz w:val="22"/>
                <w:szCs w:val="22"/>
              </w:rPr>
              <w:t xml:space="preserve"> gene drives occur naturally in a broad array of organisms, </w:t>
            </w:r>
            <w:r w:rsidR="007A055E" w:rsidRPr="00FA4010">
              <w:rPr>
                <w:sz w:val="22"/>
                <w:szCs w:val="22"/>
              </w:rPr>
              <w:t xml:space="preserve">some authors (e.g. </w:t>
            </w:r>
            <w:r w:rsidRPr="00FA4010">
              <w:rPr>
                <w:sz w:val="22"/>
                <w:szCs w:val="22"/>
              </w:rPr>
              <w:t>Hurst</w:t>
            </w:r>
            <w:r w:rsidR="007A055E" w:rsidRPr="00FA4010">
              <w:rPr>
                <w:sz w:val="22"/>
                <w:szCs w:val="22"/>
              </w:rPr>
              <w:t xml:space="preserve">, </w:t>
            </w:r>
            <w:r w:rsidRPr="00FA4010">
              <w:rPr>
                <w:sz w:val="22"/>
                <w:szCs w:val="22"/>
              </w:rPr>
              <w:t>2019) ha</w:t>
            </w:r>
            <w:r w:rsidR="00CC0566" w:rsidRPr="00FA4010">
              <w:rPr>
                <w:sz w:val="22"/>
                <w:szCs w:val="22"/>
              </w:rPr>
              <w:t xml:space="preserve">ve </w:t>
            </w:r>
            <w:r w:rsidRPr="00FA4010">
              <w:rPr>
                <w:sz w:val="22"/>
                <w:szCs w:val="22"/>
              </w:rPr>
              <w:t xml:space="preserve">suggested that preferential inheritance may be the rule rather than the exception. </w:t>
            </w:r>
            <w:r w:rsidR="00A43176" w:rsidRPr="00FA4010">
              <w:rPr>
                <w:sz w:val="22"/>
                <w:szCs w:val="22"/>
              </w:rPr>
              <w:t xml:space="preserve">Therefore, </w:t>
            </w:r>
            <w:r w:rsidR="00C55B48" w:rsidRPr="00FA4010">
              <w:rPr>
                <w:sz w:val="22"/>
                <w:szCs w:val="22"/>
              </w:rPr>
              <w:t>alternative wording may be helpful</w:t>
            </w:r>
            <w:r w:rsidR="003E4B50" w:rsidRPr="00FA4010">
              <w:rPr>
                <w:sz w:val="22"/>
                <w:szCs w:val="22"/>
              </w:rPr>
              <w:t>.</w:t>
            </w:r>
          </w:p>
          <w:p w14:paraId="4BF2BB70" w14:textId="77777777" w:rsidR="00C84284" w:rsidRPr="00FA4010" w:rsidRDefault="00C84284" w:rsidP="00C84284">
            <w:pPr>
              <w:rPr>
                <w:sz w:val="22"/>
                <w:szCs w:val="22"/>
              </w:rPr>
            </w:pPr>
          </w:p>
          <w:p w14:paraId="612F8E15" w14:textId="46B34FAB" w:rsidR="00400B2E" w:rsidRPr="00FA4010" w:rsidRDefault="00C84284" w:rsidP="00C84284">
            <w:pPr>
              <w:rPr>
                <w:sz w:val="22"/>
                <w:szCs w:val="22"/>
              </w:rPr>
            </w:pPr>
            <w:r w:rsidRPr="00FA4010">
              <w:rPr>
                <w:sz w:val="22"/>
                <w:szCs w:val="22"/>
              </w:rPr>
              <w:t xml:space="preserve">Hurst LD, 2019. A </w:t>
            </w:r>
            <w:r w:rsidR="009913FA" w:rsidRPr="00FA4010">
              <w:rPr>
                <w:sz w:val="22"/>
                <w:szCs w:val="22"/>
              </w:rPr>
              <w:t>c</w:t>
            </w:r>
            <w:r w:rsidRPr="00FA4010">
              <w:rPr>
                <w:sz w:val="22"/>
                <w:szCs w:val="22"/>
              </w:rPr>
              <w:t>entury of bias in genetics and evolution. Heredity, 123, 33–43.</w:t>
            </w:r>
          </w:p>
        </w:tc>
      </w:tr>
      <w:tr w:rsidR="006853C6" w:rsidRPr="00E86669" w14:paraId="077ECF3C" w14:textId="77777777" w:rsidTr="00307697">
        <w:trPr>
          <w:cantSplit/>
          <w:trHeight w:val="233"/>
        </w:trPr>
        <w:tc>
          <w:tcPr>
            <w:tcW w:w="908" w:type="dxa"/>
          </w:tcPr>
          <w:p w14:paraId="3053276C" w14:textId="21DE40A3" w:rsidR="006853C6" w:rsidRPr="00E86669" w:rsidRDefault="007B36F1" w:rsidP="006853C6">
            <w:pPr>
              <w:rPr>
                <w:sz w:val="22"/>
                <w:szCs w:val="22"/>
              </w:rPr>
            </w:pPr>
            <w:r w:rsidRPr="00E86669">
              <w:rPr>
                <w:sz w:val="22"/>
                <w:szCs w:val="22"/>
              </w:rPr>
              <w:t>19</w:t>
            </w:r>
          </w:p>
        </w:tc>
        <w:tc>
          <w:tcPr>
            <w:tcW w:w="1255" w:type="dxa"/>
          </w:tcPr>
          <w:p w14:paraId="011C33C7" w14:textId="6815AD1B" w:rsidR="006853C6" w:rsidRPr="00E86669" w:rsidRDefault="007B36F1" w:rsidP="006853C6">
            <w:pPr>
              <w:rPr>
                <w:sz w:val="22"/>
                <w:szCs w:val="22"/>
              </w:rPr>
            </w:pPr>
            <w:r w:rsidRPr="00E86669">
              <w:rPr>
                <w:sz w:val="22"/>
                <w:szCs w:val="22"/>
              </w:rPr>
              <w:t>30</w:t>
            </w:r>
          </w:p>
        </w:tc>
        <w:tc>
          <w:tcPr>
            <w:tcW w:w="8025" w:type="dxa"/>
            <w:gridSpan w:val="2"/>
          </w:tcPr>
          <w:p w14:paraId="31FB0F18" w14:textId="6A818F7C" w:rsidR="006853C6" w:rsidRPr="00BC56C7" w:rsidRDefault="007B36F1" w:rsidP="006853C6">
            <w:pPr>
              <w:rPr>
                <w:sz w:val="22"/>
                <w:szCs w:val="22"/>
              </w:rPr>
            </w:pPr>
            <w:r w:rsidRPr="00BC56C7">
              <w:rPr>
                <w:sz w:val="22"/>
                <w:szCs w:val="22"/>
              </w:rPr>
              <w:t>“… at the expense of their hosts”. Is</w:t>
            </w:r>
            <w:r w:rsidR="00573329" w:rsidRPr="00BC56C7">
              <w:rPr>
                <w:sz w:val="22"/>
                <w:szCs w:val="22"/>
              </w:rPr>
              <w:t xml:space="preserve"> the spreading </w:t>
            </w:r>
            <w:r w:rsidRPr="00BC56C7">
              <w:rPr>
                <w:sz w:val="22"/>
                <w:szCs w:val="22"/>
              </w:rPr>
              <w:t>always at the cost of their hosts?</w:t>
            </w:r>
            <w:r w:rsidR="003E4B50" w:rsidRPr="00BC56C7">
              <w:rPr>
                <w:sz w:val="22"/>
                <w:szCs w:val="22"/>
              </w:rPr>
              <w:t xml:space="preserve"> This may be the case for population suppression strategies/systems but not necessarily </w:t>
            </w:r>
            <w:r w:rsidR="00A81262" w:rsidRPr="00BC56C7">
              <w:rPr>
                <w:sz w:val="22"/>
                <w:szCs w:val="22"/>
              </w:rPr>
              <w:t xml:space="preserve">for </w:t>
            </w:r>
            <w:r w:rsidR="003E4B50" w:rsidRPr="00BC56C7">
              <w:rPr>
                <w:sz w:val="22"/>
                <w:szCs w:val="22"/>
              </w:rPr>
              <w:t>population modification strategies/systems</w:t>
            </w:r>
          </w:p>
        </w:tc>
      </w:tr>
      <w:tr w:rsidR="006853C6" w:rsidRPr="00E86669" w14:paraId="31B1A49C" w14:textId="77777777" w:rsidTr="00307697">
        <w:trPr>
          <w:cantSplit/>
          <w:trHeight w:val="233"/>
        </w:trPr>
        <w:tc>
          <w:tcPr>
            <w:tcW w:w="908" w:type="dxa"/>
          </w:tcPr>
          <w:p w14:paraId="26E0E2AA" w14:textId="636D1C7D" w:rsidR="006853C6" w:rsidRPr="00E86669" w:rsidRDefault="00344DD4" w:rsidP="006853C6">
            <w:pPr>
              <w:rPr>
                <w:sz w:val="22"/>
                <w:szCs w:val="22"/>
              </w:rPr>
            </w:pPr>
            <w:r w:rsidRPr="00E86669">
              <w:rPr>
                <w:sz w:val="22"/>
                <w:szCs w:val="22"/>
              </w:rPr>
              <w:t>19</w:t>
            </w:r>
          </w:p>
        </w:tc>
        <w:tc>
          <w:tcPr>
            <w:tcW w:w="1255" w:type="dxa"/>
          </w:tcPr>
          <w:p w14:paraId="1C6455E2" w14:textId="36F162C0" w:rsidR="006853C6" w:rsidRPr="00E86669" w:rsidRDefault="0039643F" w:rsidP="006853C6">
            <w:pPr>
              <w:rPr>
                <w:sz w:val="22"/>
                <w:szCs w:val="22"/>
              </w:rPr>
            </w:pPr>
            <w:r w:rsidRPr="00E86669">
              <w:rPr>
                <w:sz w:val="22"/>
                <w:szCs w:val="22"/>
              </w:rPr>
              <w:t>37-39</w:t>
            </w:r>
          </w:p>
        </w:tc>
        <w:tc>
          <w:tcPr>
            <w:tcW w:w="8025" w:type="dxa"/>
            <w:gridSpan w:val="2"/>
          </w:tcPr>
          <w:p w14:paraId="739054CF" w14:textId="70E90E43" w:rsidR="006853C6" w:rsidRPr="00E86669" w:rsidRDefault="00DE2B49" w:rsidP="006853C6">
            <w:pPr>
              <w:rPr>
                <w:sz w:val="22"/>
                <w:szCs w:val="22"/>
              </w:rPr>
            </w:pPr>
            <w:r w:rsidRPr="00E86669">
              <w:rPr>
                <w:sz w:val="22"/>
                <w:szCs w:val="22"/>
              </w:rPr>
              <w:t>Perhaps the author</w:t>
            </w:r>
            <w:r w:rsidR="00B03BEF" w:rsidRPr="00E86669">
              <w:rPr>
                <w:sz w:val="22"/>
                <w:szCs w:val="22"/>
              </w:rPr>
              <w:t>s of the report</w:t>
            </w:r>
            <w:r w:rsidRPr="00E86669">
              <w:rPr>
                <w:sz w:val="22"/>
                <w:szCs w:val="22"/>
              </w:rPr>
              <w:t xml:space="preserve"> may wish to </w:t>
            </w:r>
            <w:r w:rsidR="0039643F" w:rsidRPr="00E86669">
              <w:rPr>
                <w:sz w:val="22"/>
                <w:szCs w:val="22"/>
              </w:rPr>
              <w:t xml:space="preserve">cite </w:t>
            </w:r>
            <w:r w:rsidR="00FD6263">
              <w:rPr>
                <w:sz w:val="22"/>
                <w:szCs w:val="22"/>
              </w:rPr>
              <w:t xml:space="preserve">relevant </w:t>
            </w:r>
            <w:r w:rsidR="0039643F" w:rsidRPr="00E86669">
              <w:rPr>
                <w:sz w:val="22"/>
                <w:szCs w:val="22"/>
              </w:rPr>
              <w:t>review papers here</w:t>
            </w:r>
            <w:r w:rsidRPr="00E86669">
              <w:rPr>
                <w:sz w:val="22"/>
                <w:szCs w:val="22"/>
              </w:rPr>
              <w:t xml:space="preserve"> </w:t>
            </w:r>
            <w:r w:rsidR="00C1759D" w:rsidRPr="00E86669">
              <w:rPr>
                <w:sz w:val="22"/>
                <w:szCs w:val="22"/>
              </w:rPr>
              <w:t xml:space="preserve"> that provide an overview of the various engineered gene drives developed so far </w:t>
            </w:r>
            <w:r w:rsidRPr="00E86669">
              <w:rPr>
                <w:sz w:val="22"/>
                <w:szCs w:val="22"/>
              </w:rPr>
              <w:t>(instead of specific original research papers)</w:t>
            </w:r>
            <w:r w:rsidR="009331C0" w:rsidRPr="00E86669">
              <w:rPr>
                <w:sz w:val="22"/>
                <w:szCs w:val="22"/>
              </w:rPr>
              <w:t>. Some relevant examples are given for convenience, below</w:t>
            </w:r>
            <w:r w:rsidR="005C642E">
              <w:rPr>
                <w:sz w:val="22"/>
                <w:szCs w:val="22"/>
              </w:rPr>
              <w:t>.</w:t>
            </w:r>
          </w:p>
          <w:p w14:paraId="76DB00DB" w14:textId="77777777" w:rsidR="00A04AC9" w:rsidRPr="00E86669" w:rsidRDefault="00A04AC9" w:rsidP="006853C6">
            <w:pPr>
              <w:rPr>
                <w:sz w:val="22"/>
                <w:szCs w:val="22"/>
              </w:rPr>
            </w:pPr>
          </w:p>
          <w:p w14:paraId="0ADCF534" w14:textId="77777777" w:rsidR="00666289" w:rsidRPr="00E86669" w:rsidRDefault="00666289" w:rsidP="00666289">
            <w:pPr>
              <w:rPr>
                <w:sz w:val="22"/>
                <w:szCs w:val="22"/>
              </w:rPr>
            </w:pPr>
            <w:r w:rsidRPr="00E86669">
              <w:rPr>
                <w:sz w:val="22"/>
                <w:szCs w:val="22"/>
              </w:rPr>
              <w:t>-Champer J, Buchman A and Akbari OS, 2016. Cheating evolution: engineering gene drives to manipulate the fate of wild populations. Nature Reviews Genetics, 17, 146–159.</w:t>
            </w:r>
          </w:p>
          <w:p w14:paraId="35719F4C" w14:textId="1A531A4C" w:rsidR="001D35FD" w:rsidRPr="00E86669" w:rsidRDefault="001D35FD" w:rsidP="001D35FD">
            <w:pPr>
              <w:rPr>
                <w:sz w:val="22"/>
                <w:szCs w:val="22"/>
              </w:rPr>
            </w:pPr>
            <w:r w:rsidRPr="00E86669">
              <w:rPr>
                <w:sz w:val="22"/>
                <w:szCs w:val="22"/>
              </w:rPr>
              <w:t>-Hay BA, Oberhofer G</w:t>
            </w:r>
            <w:r w:rsidR="00C82C67" w:rsidRPr="00E86669">
              <w:rPr>
                <w:sz w:val="22"/>
                <w:szCs w:val="22"/>
              </w:rPr>
              <w:t xml:space="preserve"> and</w:t>
            </w:r>
            <w:r w:rsidRPr="00E86669">
              <w:rPr>
                <w:sz w:val="22"/>
                <w:szCs w:val="22"/>
              </w:rPr>
              <w:t xml:space="preserve"> Guo M, 2021. Engineering the composition and fate of wild populations with gene drive. Annual Review of Entomology, 66, 407–434.</w:t>
            </w:r>
          </w:p>
          <w:p w14:paraId="503F912F" w14:textId="0167A516" w:rsidR="00A04AC9" w:rsidRPr="00E86669" w:rsidRDefault="002727A8" w:rsidP="001D35FD">
            <w:pPr>
              <w:rPr>
                <w:rFonts w:eastAsia="Tahoma"/>
                <w:sz w:val="22"/>
                <w:szCs w:val="22"/>
              </w:rPr>
            </w:pPr>
            <w:r w:rsidRPr="00E86669">
              <w:rPr>
                <w:sz w:val="22"/>
                <w:szCs w:val="22"/>
              </w:rPr>
              <w:t>-</w:t>
            </w:r>
            <w:r w:rsidR="00A04AC9" w:rsidRPr="00E86669">
              <w:rPr>
                <w:sz w:val="22"/>
                <w:szCs w:val="22"/>
              </w:rPr>
              <w:t>Raban RR, Marshall JM and Akbari OS, 2020. Progress towards engineering gene drives for population control. Journal of Experimental Biology, 223, jeb208181.</w:t>
            </w:r>
          </w:p>
        </w:tc>
      </w:tr>
      <w:tr w:rsidR="006853C6" w:rsidRPr="00E86669" w14:paraId="7DA9A366" w14:textId="77777777" w:rsidTr="00307697">
        <w:trPr>
          <w:cantSplit/>
          <w:trHeight w:val="233"/>
        </w:trPr>
        <w:tc>
          <w:tcPr>
            <w:tcW w:w="908" w:type="dxa"/>
          </w:tcPr>
          <w:p w14:paraId="0704BF74" w14:textId="1A010400" w:rsidR="006853C6" w:rsidRPr="00E86669" w:rsidRDefault="00C12B5B" w:rsidP="006853C6">
            <w:pPr>
              <w:rPr>
                <w:sz w:val="22"/>
                <w:szCs w:val="22"/>
              </w:rPr>
            </w:pPr>
            <w:r w:rsidRPr="00E86669">
              <w:rPr>
                <w:sz w:val="22"/>
                <w:szCs w:val="22"/>
              </w:rPr>
              <w:t>19</w:t>
            </w:r>
          </w:p>
        </w:tc>
        <w:tc>
          <w:tcPr>
            <w:tcW w:w="1255" w:type="dxa"/>
          </w:tcPr>
          <w:p w14:paraId="5C318341" w14:textId="0F7A28E3" w:rsidR="006853C6" w:rsidRPr="00E86669" w:rsidRDefault="00C12B5B" w:rsidP="006853C6">
            <w:pPr>
              <w:rPr>
                <w:sz w:val="22"/>
                <w:szCs w:val="22"/>
              </w:rPr>
            </w:pPr>
            <w:r w:rsidRPr="00E86669">
              <w:rPr>
                <w:sz w:val="22"/>
                <w:szCs w:val="22"/>
              </w:rPr>
              <w:t>39-43</w:t>
            </w:r>
          </w:p>
        </w:tc>
        <w:tc>
          <w:tcPr>
            <w:tcW w:w="8025" w:type="dxa"/>
            <w:gridSpan w:val="2"/>
          </w:tcPr>
          <w:p w14:paraId="3F12AB2A" w14:textId="48F9628D" w:rsidR="00800142" w:rsidRPr="00E86669" w:rsidRDefault="002F7B8D" w:rsidP="00800142">
            <w:pPr>
              <w:rPr>
                <w:sz w:val="22"/>
                <w:szCs w:val="22"/>
              </w:rPr>
            </w:pPr>
            <w:r w:rsidRPr="00E86669">
              <w:rPr>
                <w:sz w:val="22"/>
                <w:szCs w:val="22"/>
              </w:rPr>
              <w:t xml:space="preserve">It would be helpful </w:t>
            </w:r>
            <w:r w:rsidR="00C12B5B" w:rsidRPr="00E86669">
              <w:rPr>
                <w:sz w:val="22"/>
                <w:szCs w:val="22"/>
              </w:rPr>
              <w:t xml:space="preserve">to consider </w:t>
            </w:r>
            <w:r w:rsidR="00A332CF" w:rsidRPr="00E86669">
              <w:rPr>
                <w:sz w:val="22"/>
                <w:szCs w:val="22"/>
              </w:rPr>
              <w:t xml:space="preserve">the </w:t>
            </w:r>
            <w:r w:rsidR="00C12B5B" w:rsidRPr="00E86669">
              <w:rPr>
                <w:sz w:val="22"/>
                <w:szCs w:val="22"/>
              </w:rPr>
              <w:t>publication</w:t>
            </w:r>
            <w:r w:rsidR="00A332CF" w:rsidRPr="00E86669">
              <w:rPr>
                <w:sz w:val="22"/>
                <w:szCs w:val="22"/>
              </w:rPr>
              <w:t xml:space="preserve"> by Alphey et al. (2020)</w:t>
            </w:r>
            <w:r w:rsidR="00C12B5B" w:rsidRPr="00E86669">
              <w:rPr>
                <w:sz w:val="22"/>
                <w:szCs w:val="22"/>
              </w:rPr>
              <w:t xml:space="preserve"> when </w:t>
            </w:r>
            <w:r w:rsidR="00B969DD" w:rsidRPr="00E86669">
              <w:rPr>
                <w:sz w:val="22"/>
                <w:szCs w:val="22"/>
              </w:rPr>
              <w:t>addressing the definition</w:t>
            </w:r>
            <w:r w:rsidR="00C12B5B" w:rsidRPr="00E86669">
              <w:rPr>
                <w:sz w:val="22"/>
                <w:szCs w:val="22"/>
              </w:rPr>
              <w:t xml:space="preserve"> </w:t>
            </w:r>
            <w:r w:rsidR="00945A81" w:rsidRPr="00E86669">
              <w:rPr>
                <w:sz w:val="22"/>
                <w:szCs w:val="22"/>
              </w:rPr>
              <w:t>and purpose of engineered gene drives</w:t>
            </w:r>
            <w:r w:rsidR="00A332CF" w:rsidRPr="00E86669">
              <w:rPr>
                <w:sz w:val="22"/>
                <w:szCs w:val="22"/>
              </w:rPr>
              <w:t>. The reference to the publication is given below.</w:t>
            </w:r>
          </w:p>
          <w:p w14:paraId="2B0B6906" w14:textId="77777777" w:rsidR="00800142" w:rsidRPr="00E86669" w:rsidRDefault="00800142" w:rsidP="00800142">
            <w:pPr>
              <w:rPr>
                <w:sz w:val="22"/>
                <w:szCs w:val="22"/>
              </w:rPr>
            </w:pPr>
          </w:p>
          <w:p w14:paraId="728544B4" w14:textId="79A258F3" w:rsidR="00800142" w:rsidRPr="00E86669" w:rsidRDefault="00800142" w:rsidP="00BD4D10">
            <w:pPr>
              <w:rPr>
                <w:sz w:val="22"/>
                <w:szCs w:val="22"/>
              </w:rPr>
            </w:pPr>
            <w:r w:rsidRPr="001A11C0">
              <w:rPr>
                <w:sz w:val="22"/>
                <w:szCs w:val="22"/>
                <w:lang w:val="fr-BE"/>
              </w:rPr>
              <w:t xml:space="preserve">Alphey LS, Crisanti A, Randazzo F, et al., 2020. </w:t>
            </w:r>
            <w:r w:rsidRPr="00E86669">
              <w:rPr>
                <w:sz w:val="22"/>
                <w:szCs w:val="22"/>
              </w:rPr>
              <w:t xml:space="preserve">Standardizing the definition of gene drive. </w:t>
            </w:r>
            <w:r w:rsidR="00BD4D10" w:rsidRPr="00E86669">
              <w:rPr>
                <w:sz w:val="22"/>
                <w:szCs w:val="22"/>
              </w:rPr>
              <w:t>PNAS,</w:t>
            </w:r>
            <w:r w:rsidRPr="00E86669">
              <w:rPr>
                <w:sz w:val="22"/>
                <w:szCs w:val="22"/>
              </w:rPr>
              <w:t xml:space="preserve"> 117, 30864–30867.</w:t>
            </w:r>
          </w:p>
        </w:tc>
      </w:tr>
      <w:tr w:rsidR="006853C6" w:rsidRPr="00E86669" w14:paraId="27D65F93" w14:textId="77777777" w:rsidTr="00307697">
        <w:trPr>
          <w:cantSplit/>
          <w:trHeight w:val="233"/>
        </w:trPr>
        <w:tc>
          <w:tcPr>
            <w:tcW w:w="908" w:type="dxa"/>
          </w:tcPr>
          <w:p w14:paraId="6FEE838D" w14:textId="5225A728" w:rsidR="006853C6" w:rsidRPr="00E86669" w:rsidRDefault="00504AD0" w:rsidP="006853C6">
            <w:pPr>
              <w:rPr>
                <w:sz w:val="22"/>
                <w:szCs w:val="22"/>
              </w:rPr>
            </w:pPr>
            <w:r w:rsidRPr="00E86669">
              <w:rPr>
                <w:sz w:val="22"/>
                <w:szCs w:val="22"/>
              </w:rPr>
              <w:t>19</w:t>
            </w:r>
          </w:p>
        </w:tc>
        <w:tc>
          <w:tcPr>
            <w:tcW w:w="1255" w:type="dxa"/>
          </w:tcPr>
          <w:p w14:paraId="2C39B009" w14:textId="090B53BA" w:rsidR="006853C6" w:rsidRPr="00E86669" w:rsidRDefault="00887A04" w:rsidP="006853C6">
            <w:pPr>
              <w:rPr>
                <w:sz w:val="22"/>
                <w:szCs w:val="22"/>
              </w:rPr>
            </w:pPr>
            <w:r w:rsidRPr="00E86669">
              <w:rPr>
                <w:sz w:val="22"/>
                <w:szCs w:val="22"/>
              </w:rPr>
              <w:t>44-47</w:t>
            </w:r>
          </w:p>
        </w:tc>
        <w:tc>
          <w:tcPr>
            <w:tcW w:w="8025" w:type="dxa"/>
            <w:gridSpan w:val="2"/>
          </w:tcPr>
          <w:p w14:paraId="75B86ED1" w14:textId="422A575A" w:rsidR="00230BC4" w:rsidRPr="00E86669" w:rsidRDefault="00887A04" w:rsidP="006853C6">
            <w:pPr>
              <w:rPr>
                <w:sz w:val="22"/>
                <w:szCs w:val="22"/>
              </w:rPr>
            </w:pPr>
            <w:r w:rsidRPr="00E86669">
              <w:rPr>
                <w:sz w:val="22"/>
                <w:szCs w:val="22"/>
              </w:rPr>
              <w:t>The list of currently proposed and/or developed engineered gene drives is incomplete. Additional designs with different</w:t>
            </w:r>
            <w:r w:rsidR="00F91B50" w:rsidRPr="00E86669">
              <w:rPr>
                <w:sz w:val="22"/>
                <w:szCs w:val="22"/>
              </w:rPr>
              <w:t xml:space="preserve"> or similar</w:t>
            </w:r>
            <w:r w:rsidRPr="00E86669">
              <w:rPr>
                <w:sz w:val="22"/>
                <w:szCs w:val="22"/>
              </w:rPr>
              <w:t xml:space="preserve"> modes of a</w:t>
            </w:r>
            <w:r w:rsidR="00F91B50" w:rsidRPr="00E86669">
              <w:rPr>
                <w:sz w:val="22"/>
                <w:szCs w:val="22"/>
              </w:rPr>
              <w:t>ction have been reported in the scientific literature (e.g. h</w:t>
            </w:r>
            <w:r w:rsidR="00102CE4" w:rsidRPr="00E86669">
              <w:rPr>
                <w:sz w:val="22"/>
                <w:szCs w:val="22"/>
              </w:rPr>
              <w:t xml:space="preserve">ome and </w:t>
            </w:r>
            <w:r w:rsidR="007A2BB4" w:rsidRPr="00E86669">
              <w:rPr>
                <w:sz w:val="22"/>
                <w:szCs w:val="22"/>
              </w:rPr>
              <w:t>rescue gene drives, split rescue drive, underdominance gene drives). Perhaps th</w:t>
            </w:r>
            <w:r w:rsidR="003C05BE" w:rsidRPr="00E86669">
              <w:rPr>
                <w:sz w:val="22"/>
                <w:szCs w:val="22"/>
              </w:rPr>
              <w:t>e text could be updated accordingly, or could mention that the field is evolved rapidly</w:t>
            </w:r>
            <w:r w:rsidR="00BB542D">
              <w:rPr>
                <w:sz w:val="22"/>
                <w:szCs w:val="22"/>
              </w:rPr>
              <w:t xml:space="preserve"> and </w:t>
            </w:r>
            <w:r w:rsidR="00836D70">
              <w:rPr>
                <w:sz w:val="22"/>
                <w:szCs w:val="22"/>
              </w:rPr>
              <w:t xml:space="preserve">most likely yielding </w:t>
            </w:r>
            <w:r w:rsidR="00E16064" w:rsidRPr="00E86669">
              <w:rPr>
                <w:sz w:val="22"/>
                <w:szCs w:val="22"/>
              </w:rPr>
              <w:t>additional new designs and modes of action</w:t>
            </w:r>
            <w:r w:rsidR="00836D70">
              <w:rPr>
                <w:sz w:val="22"/>
                <w:szCs w:val="22"/>
              </w:rPr>
              <w:t xml:space="preserve"> in the near future</w:t>
            </w:r>
            <w:r w:rsidR="00230BC4" w:rsidRPr="00E86669">
              <w:rPr>
                <w:sz w:val="22"/>
                <w:szCs w:val="22"/>
              </w:rPr>
              <w:t xml:space="preserve">. Perhaps </w:t>
            </w:r>
            <w:r w:rsidR="005A11C5">
              <w:rPr>
                <w:sz w:val="22"/>
                <w:szCs w:val="22"/>
              </w:rPr>
              <w:t xml:space="preserve">the authors of the report may also wish to consider </w:t>
            </w:r>
            <w:r w:rsidR="00230BC4" w:rsidRPr="00E86669">
              <w:rPr>
                <w:sz w:val="22"/>
                <w:szCs w:val="22"/>
              </w:rPr>
              <w:t>Table</w:t>
            </w:r>
            <w:r w:rsidR="00FF0972">
              <w:rPr>
                <w:sz w:val="22"/>
                <w:szCs w:val="22"/>
              </w:rPr>
              <w:t> </w:t>
            </w:r>
            <w:r w:rsidR="00230BC4" w:rsidRPr="00E86669">
              <w:rPr>
                <w:sz w:val="22"/>
                <w:szCs w:val="22"/>
              </w:rPr>
              <w:t>2 of EFSA (2020)</w:t>
            </w:r>
            <w:r w:rsidR="005A11C5">
              <w:rPr>
                <w:sz w:val="22"/>
                <w:szCs w:val="22"/>
              </w:rPr>
              <w:t xml:space="preserve"> for an overview/classification of current engineered gene drive</w:t>
            </w:r>
            <w:r w:rsidR="002A1E51">
              <w:rPr>
                <w:sz w:val="22"/>
                <w:szCs w:val="22"/>
              </w:rPr>
              <w:t>s in insects</w:t>
            </w:r>
            <w:r w:rsidR="00245645">
              <w:rPr>
                <w:sz w:val="22"/>
                <w:szCs w:val="22"/>
              </w:rPr>
              <w:t xml:space="preserve"> (see also WHO, 2021)</w:t>
            </w:r>
            <w:r w:rsidR="00230BC4" w:rsidRPr="00E86669">
              <w:rPr>
                <w:sz w:val="22"/>
                <w:szCs w:val="22"/>
              </w:rPr>
              <w:t>.</w:t>
            </w:r>
          </w:p>
          <w:p w14:paraId="35BDFE5C" w14:textId="77777777" w:rsidR="00230BC4" w:rsidRPr="00E86669" w:rsidRDefault="00230BC4" w:rsidP="006853C6">
            <w:pPr>
              <w:rPr>
                <w:sz w:val="22"/>
                <w:szCs w:val="22"/>
              </w:rPr>
            </w:pPr>
          </w:p>
          <w:p w14:paraId="291418C0" w14:textId="1685CDD1" w:rsidR="00245645" w:rsidRPr="00E86669" w:rsidRDefault="00245645" w:rsidP="00245645">
            <w:pPr>
              <w:rPr>
                <w:sz w:val="22"/>
                <w:szCs w:val="22"/>
              </w:rPr>
            </w:pPr>
            <w:r>
              <w:rPr>
                <w:sz w:val="22"/>
                <w:szCs w:val="22"/>
              </w:rPr>
              <w:t>-</w:t>
            </w:r>
            <w:r w:rsidR="00230BC4" w:rsidRPr="00E86669">
              <w:rPr>
                <w:sz w:val="22"/>
                <w:szCs w:val="22"/>
              </w:rPr>
              <w:t>EFSA (European Food Safety Authority), 2020a. Scientific Opinion on the adequacy and sufficiency evaluation of existing EFSA guidelines for the molecular characterisation, environmental risk assessment and post-market environmental monitoring of genetically modified insects containing engineered gene drives. EFSA J. 18, 6297</w:t>
            </w:r>
            <w:r>
              <w:rPr>
                <w:sz w:val="22"/>
                <w:szCs w:val="22"/>
              </w:rPr>
              <w:t>.</w:t>
            </w:r>
          </w:p>
          <w:p w14:paraId="3C230DD4" w14:textId="549E2122" w:rsidR="00245645" w:rsidRPr="00E86669" w:rsidRDefault="00245645" w:rsidP="00245645">
            <w:pPr>
              <w:rPr>
                <w:sz w:val="22"/>
                <w:szCs w:val="22"/>
              </w:rPr>
            </w:pPr>
            <w:r>
              <w:rPr>
                <w:sz w:val="22"/>
                <w:szCs w:val="22"/>
              </w:rPr>
              <w:t>-</w:t>
            </w:r>
            <w:r w:rsidRPr="00E86669">
              <w:rPr>
                <w:sz w:val="22"/>
                <w:szCs w:val="22"/>
              </w:rPr>
              <w:t xml:space="preserve">WHO (World Health Organization), 2021. </w:t>
            </w:r>
            <w:r w:rsidRPr="00E86669">
              <w:rPr>
                <w:rStyle w:val="A2"/>
                <w:rFonts w:cs="Times New Roman"/>
                <w:sz w:val="22"/>
                <w:szCs w:val="22"/>
              </w:rPr>
              <w:t xml:space="preserve">Guidance framework for testing genetically modified mosquitoes, second edition. ISBN 978-92-4-002523-3. Available from: </w:t>
            </w:r>
            <w:hyperlink r:id="rId11" w:history="1">
              <w:r w:rsidRPr="00E86669">
                <w:rPr>
                  <w:rStyle w:val="Hyperlink"/>
                  <w:sz w:val="22"/>
                  <w:szCs w:val="22"/>
                </w:rPr>
                <w:t>https://www.who.int/publications/i/item/9789240025233</w:t>
              </w:r>
            </w:hyperlink>
          </w:p>
        </w:tc>
      </w:tr>
      <w:tr w:rsidR="00D3417B" w:rsidRPr="00E86669" w14:paraId="7F41CC7E" w14:textId="77777777" w:rsidTr="00307697">
        <w:trPr>
          <w:cantSplit/>
          <w:trHeight w:val="233"/>
        </w:trPr>
        <w:tc>
          <w:tcPr>
            <w:tcW w:w="908" w:type="dxa"/>
          </w:tcPr>
          <w:p w14:paraId="661D50E8" w14:textId="68C8BD7F" w:rsidR="00D3417B" w:rsidRPr="00E86669" w:rsidRDefault="00D3417B" w:rsidP="00D3417B">
            <w:pPr>
              <w:rPr>
                <w:b/>
                <w:bCs/>
                <w:sz w:val="22"/>
                <w:szCs w:val="22"/>
              </w:rPr>
            </w:pPr>
            <w:r w:rsidRPr="00E86669">
              <w:rPr>
                <w:sz w:val="22"/>
                <w:szCs w:val="22"/>
              </w:rPr>
              <w:t>19</w:t>
            </w:r>
          </w:p>
        </w:tc>
        <w:tc>
          <w:tcPr>
            <w:tcW w:w="1255" w:type="dxa"/>
          </w:tcPr>
          <w:p w14:paraId="0DB5D191" w14:textId="781AB23C" w:rsidR="00D3417B" w:rsidRPr="00E86669" w:rsidRDefault="00D3417B" w:rsidP="00D3417B">
            <w:pPr>
              <w:rPr>
                <w:sz w:val="22"/>
                <w:szCs w:val="22"/>
              </w:rPr>
            </w:pPr>
            <w:r w:rsidRPr="00E86669">
              <w:rPr>
                <w:sz w:val="22"/>
                <w:szCs w:val="22"/>
              </w:rPr>
              <w:t>44-47</w:t>
            </w:r>
          </w:p>
        </w:tc>
        <w:tc>
          <w:tcPr>
            <w:tcW w:w="8025" w:type="dxa"/>
            <w:gridSpan w:val="2"/>
          </w:tcPr>
          <w:p w14:paraId="13354FC4" w14:textId="130DC8FC" w:rsidR="00936829" w:rsidRPr="00E86669" w:rsidRDefault="00936829" w:rsidP="00D3417B">
            <w:pPr>
              <w:rPr>
                <w:sz w:val="22"/>
                <w:szCs w:val="22"/>
              </w:rPr>
            </w:pPr>
            <w:r w:rsidRPr="00E86669">
              <w:rPr>
                <w:sz w:val="22"/>
                <w:szCs w:val="22"/>
              </w:rPr>
              <w:t>“…, CRISPR-based homing gene drives are the most adaptable to new species and populations</w:t>
            </w:r>
            <w:r w:rsidR="00BB30C0" w:rsidRPr="00E86669">
              <w:rPr>
                <w:sz w:val="22"/>
                <w:szCs w:val="22"/>
              </w:rPr>
              <w:t xml:space="preserve"> …”. Can </w:t>
            </w:r>
            <w:r w:rsidR="000F2E03" w:rsidRPr="00E86669">
              <w:rPr>
                <w:sz w:val="22"/>
                <w:szCs w:val="22"/>
              </w:rPr>
              <w:t>a rationale be provide</w:t>
            </w:r>
            <w:r w:rsidR="0079426D" w:rsidRPr="00E86669">
              <w:rPr>
                <w:sz w:val="22"/>
                <w:szCs w:val="22"/>
              </w:rPr>
              <w:t>d</w:t>
            </w:r>
            <w:r w:rsidR="000F2E03" w:rsidRPr="00E86669">
              <w:rPr>
                <w:sz w:val="22"/>
                <w:szCs w:val="22"/>
              </w:rPr>
              <w:t xml:space="preserve"> to substantiate/clarify </w:t>
            </w:r>
            <w:r w:rsidR="00BB30C0" w:rsidRPr="00E86669">
              <w:rPr>
                <w:sz w:val="22"/>
                <w:szCs w:val="22"/>
              </w:rPr>
              <w:t>this statement</w:t>
            </w:r>
            <w:r w:rsidR="000F2E03" w:rsidRPr="00E86669">
              <w:rPr>
                <w:sz w:val="22"/>
                <w:szCs w:val="22"/>
              </w:rPr>
              <w:t>?</w:t>
            </w:r>
            <w:r w:rsidR="00BB30C0" w:rsidRPr="00E86669">
              <w:rPr>
                <w:sz w:val="22"/>
                <w:szCs w:val="22"/>
              </w:rPr>
              <w:t xml:space="preserve"> </w:t>
            </w:r>
          </w:p>
        </w:tc>
      </w:tr>
      <w:tr w:rsidR="00D3417B" w:rsidRPr="00E86669" w14:paraId="21C2AC39" w14:textId="77777777" w:rsidTr="00307697">
        <w:trPr>
          <w:cantSplit/>
          <w:trHeight w:val="233"/>
        </w:trPr>
        <w:tc>
          <w:tcPr>
            <w:tcW w:w="908" w:type="dxa"/>
          </w:tcPr>
          <w:p w14:paraId="1A4F0A1E" w14:textId="28A749EA" w:rsidR="00D3417B" w:rsidRPr="00E86669" w:rsidRDefault="00DF26AB" w:rsidP="00D3417B">
            <w:pPr>
              <w:rPr>
                <w:sz w:val="22"/>
                <w:szCs w:val="22"/>
              </w:rPr>
            </w:pPr>
            <w:r w:rsidRPr="00E86669">
              <w:rPr>
                <w:sz w:val="22"/>
                <w:szCs w:val="22"/>
              </w:rPr>
              <w:t>20</w:t>
            </w:r>
          </w:p>
        </w:tc>
        <w:tc>
          <w:tcPr>
            <w:tcW w:w="1255" w:type="dxa"/>
          </w:tcPr>
          <w:p w14:paraId="6543DC9D" w14:textId="7A6547B1" w:rsidR="00D3417B" w:rsidRPr="00E86669" w:rsidRDefault="00DF26AB" w:rsidP="00D3417B">
            <w:pPr>
              <w:rPr>
                <w:sz w:val="22"/>
                <w:szCs w:val="22"/>
              </w:rPr>
            </w:pPr>
            <w:r w:rsidRPr="00E86669">
              <w:rPr>
                <w:sz w:val="22"/>
                <w:szCs w:val="22"/>
              </w:rPr>
              <w:t>1-8</w:t>
            </w:r>
          </w:p>
        </w:tc>
        <w:tc>
          <w:tcPr>
            <w:tcW w:w="8025" w:type="dxa"/>
            <w:gridSpan w:val="2"/>
          </w:tcPr>
          <w:p w14:paraId="77736A51" w14:textId="57705D8F" w:rsidR="00D3417B" w:rsidRPr="00E86669" w:rsidRDefault="00DF26AB" w:rsidP="00D3417B">
            <w:pPr>
              <w:rPr>
                <w:sz w:val="22"/>
                <w:szCs w:val="22"/>
              </w:rPr>
            </w:pPr>
            <w:r w:rsidRPr="00E86669">
              <w:rPr>
                <w:sz w:val="22"/>
                <w:szCs w:val="22"/>
              </w:rPr>
              <w:t>The concept</w:t>
            </w:r>
            <w:r w:rsidR="00813B27" w:rsidRPr="00E86669">
              <w:rPr>
                <w:sz w:val="22"/>
                <w:szCs w:val="22"/>
              </w:rPr>
              <w:t xml:space="preserve"> of homing is not explained</w:t>
            </w:r>
            <w:r w:rsidR="00196416" w:rsidRPr="00E86669">
              <w:rPr>
                <w:sz w:val="22"/>
                <w:szCs w:val="22"/>
              </w:rPr>
              <w:t xml:space="preserve">, though it is </w:t>
            </w:r>
            <w:r w:rsidR="001F3875">
              <w:rPr>
                <w:sz w:val="22"/>
                <w:szCs w:val="22"/>
              </w:rPr>
              <w:t xml:space="preserve">a </w:t>
            </w:r>
            <w:r w:rsidR="00196416" w:rsidRPr="00E86669">
              <w:rPr>
                <w:sz w:val="22"/>
                <w:szCs w:val="22"/>
              </w:rPr>
              <w:t>key part of the message to convey</w:t>
            </w:r>
            <w:r w:rsidR="00907B6A" w:rsidRPr="00E86669">
              <w:rPr>
                <w:sz w:val="22"/>
                <w:szCs w:val="22"/>
              </w:rPr>
              <w:t xml:space="preserve">. Perhaps a sentence </w:t>
            </w:r>
            <w:r w:rsidR="00773C2C" w:rsidRPr="00E86669">
              <w:rPr>
                <w:sz w:val="22"/>
                <w:szCs w:val="22"/>
              </w:rPr>
              <w:t xml:space="preserve">could be added </w:t>
            </w:r>
            <w:r w:rsidR="00907B6A" w:rsidRPr="00E86669">
              <w:rPr>
                <w:sz w:val="22"/>
                <w:szCs w:val="22"/>
              </w:rPr>
              <w:t>to expla</w:t>
            </w:r>
            <w:r w:rsidR="00782E8A" w:rsidRPr="00E86669">
              <w:rPr>
                <w:sz w:val="22"/>
                <w:szCs w:val="22"/>
              </w:rPr>
              <w:t>in homing</w:t>
            </w:r>
          </w:p>
        </w:tc>
      </w:tr>
      <w:tr w:rsidR="008955AC" w:rsidRPr="00E86669" w14:paraId="41785390" w14:textId="77777777" w:rsidTr="00307697">
        <w:trPr>
          <w:cantSplit/>
          <w:trHeight w:val="233"/>
        </w:trPr>
        <w:tc>
          <w:tcPr>
            <w:tcW w:w="908" w:type="dxa"/>
          </w:tcPr>
          <w:p w14:paraId="04774BA5" w14:textId="589210C9" w:rsidR="008955AC" w:rsidRPr="00E86669" w:rsidRDefault="008955AC" w:rsidP="008955AC">
            <w:pPr>
              <w:rPr>
                <w:sz w:val="22"/>
                <w:szCs w:val="22"/>
              </w:rPr>
            </w:pPr>
            <w:r w:rsidRPr="00E86669">
              <w:rPr>
                <w:sz w:val="22"/>
                <w:szCs w:val="22"/>
              </w:rPr>
              <w:lastRenderedPageBreak/>
              <w:t>29</w:t>
            </w:r>
          </w:p>
        </w:tc>
        <w:tc>
          <w:tcPr>
            <w:tcW w:w="1255" w:type="dxa"/>
          </w:tcPr>
          <w:p w14:paraId="6F9DA05A" w14:textId="769AD631" w:rsidR="008955AC" w:rsidRPr="00E86669" w:rsidRDefault="008955AC" w:rsidP="008955AC">
            <w:pPr>
              <w:rPr>
                <w:sz w:val="22"/>
                <w:szCs w:val="22"/>
              </w:rPr>
            </w:pPr>
            <w:r w:rsidRPr="00E86669">
              <w:rPr>
                <w:sz w:val="22"/>
                <w:szCs w:val="22"/>
              </w:rPr>
              <w:t>11</w:t>
            </w:r>
          </w:p>
        </w:tc>
        <w:tc>
          <w:tcPr>
            <w:tcW w:w="8025" w:type="dxa"/>
            <w:gridSpan w:val="2"/>
          </w:tcPr>
          <w:p w14:paraId="0D1D8B5E" w14:textId="1FD3FEE2" w:rsidR="008955AC" w:rsidRPr="00E86669" w:rsidRDefault="008955AC" w:rsidP="00D4617B">
            <w:pPr>
              <w:rPr>
                <w:sz w:val="22"/>
                <w:szCs w:val="22"/>
              </w:rPr>
            </w:pPr>
            <w:r w:rsidRPr="00E86669">
              <w:rPr>
                <w:sz w:val="22"/>
                <w:szCs w:val="22"/>
              </w:rPr>
              <w:t xml:space="preserve">Would it help to describe the different potential applications first, </w:t>
            </w:r>
            <w:r w:rsidR="004C34F6" w:rsidRPr="00E86669">
              <w:rPr>
                <w:sz w:val="22"/>
                <w:szCs w:val="22"/>
              </w:rPr>
              <w:t xml:space="preserve">irrespective of their development status, </w:t>
            </w:r>
            <w:r w:rsidRPr="00E86669">
              <w:rPr>
                <w:sz w:val="22"/>
                <w:szCs w:val="22"/>
              </w:rPr>
              <w:t>and then report on their development status</w:t>
            </w:r>
            <w:r w:rsidR="00CC638A">
              <w:rPr>
                <w:sz w:val="22"/>
                <w:szCs w:val="22"/>
              </w:rPr>
              <w:t xml:space="preserve"> (including t</w:t>
            </w:r>
            <w:r w:rsidR="00CE7F29" w:rsidRPr="00E86669">
              <w:rPr>
                <w:sz w:val="22"/>
                <w:szCs w:val="22"/>
              </w:rPr>
              <w:t>he Table</w:t>
            </w:r>
            <w:r w:rsidR="00CC638A">
              <w:rPr>
                <w:sz w:val="22"/>
                <w:szCs w:val="22"/>
              </w:rPr>
              <w:t>)</w:t>
            </w:r>
            <w:r w:rsidRPr="00E86669">
              <w:rPr>
                <w:sz w:val="22"/>
                <w:szCs w:val="22"/>
              </w:rPr>
              <w:t xml:space="preserve">? This would </w:t>
            </w:r>
            <w:r w:rsidR="004C34F6" w:rsidRPr="00E86669">
              <w:rPr>
                <w:sz w:val="22"/>
                <w:szCs w:val="22"/>
              </w:rPr>
              <w:t xml:space="preserve">enable to provide the full spectrum of potential applications currently proposed (even if </w:t>
            </w:r>
            <w:r w:rsidR="00431A7B" w:rsidRPr="00E86669">
              <w:rPr>
                <w:sz w:val="22"/>
                <w:szCs w:val="22"/>
              </w:rPr>
              <w:t xml:space="preserve">hypothetical and only considered through </w:t>
            </w:r>
            <w:r w:rsidR="00D4617B" w:rsidRPr="00E86669">
              <w:rPr>
                <w:sz w:val="22"/>
                <w:szCs w:val="22"/>
              </w:rPr>
              <w:t>population models</w:t>
            </w:r>
            <w:r w:rsidR="00431A7B" w:rsidRPr="00E86669">
              <w:rPr>
                <w:sz w:val="22"/>
                <w:szCs w:val="22"/>
              </w:rPr>
              <w:t xml:space="preserve">), and </w:t>
            </w:r>
            <w:r w:rsidRPr="00E86669">
              <w:rPr>
                <w:sz w:val="22"/>
                <w:szCs w:val="22"/>
              </w:rPr>
              <w:t>avoid overlap in some of the subheadings presented (e.g. disease vector control applications</w:t>
            </w:r>
            <w:r w:rsidR="0097084F">
              <w:rPr>
                <w:sz w:val="22"/>
                <w:szCs w:val="22"/>
              </w:rPr>
              <w:t xml:space="preserve">: </w:t>
            </w:r>
            <w:r w:rsidRPr="00E86669">
              <w:rPr>
                <w:sz w:val="22"/>
                <w:szCs w:val="22"/>
              </w:rPr>
              <w:t>mosquitoes vs. ticks)</w:t>
            </w:r>
            <w:r w:rsidR="00CE7F29" w:rsidRPr="00E86669">
              <w:rPr>
                <w:sz w:val="22"/>
                <w:szCs w:val="22"/>
              </w:rPr>
              <w:t xml:space="preserve">. </w:t>
            </w:r>
            <w:r w:rsidR="00D4617B" w:rsidRPr="00E86669">
              <w:rPr>
                <w:sz w:val="22"/>
                <w:szCs w:val="22"/>
              </w:rPr>
              <w:t xml:space="preserve">Once all relevant </w:t>
            </w:r>
            <w:r w:rsidR="00CB0332" w:rsidRPr="00E86669">
              <w:rPr>
                <w:sz w:val="22"/>
                <w:szCs w:val="22"/>
              </w:rPr>
              <w:t xml:space="preserve">potential applications have been presented, they could be ranked according to their development status and intended uses. </w:t>
            </w:r>
            <w:r w:rsidR="008E3A2B" w:rsidRPr="00E86669">
              <w:rPr>
                <w:sz w:val="22"/>
                <w:szCs w:val="22"/>
              </w:rPr>
              <w:t xml:space="preserve">Since </w:t>
            </w:r>
            <w:r w:rsidR="00CE7F29" w:rsidRPr="00E86669">
              <w:rPr>
                <w:sz w:val="22"/>
                <w:szCs w:val="22"/>
              </w:rPr>
              <w:t xml:space="preserve">the development status </w:t>
            </w:r>
            <w:r w:rsidR="00425CF1" w:rsidRPr="00E86669">
              <w:rPr>
                <w:sz w:val="22"/>
                <w:szCs w:val="22"/>
              </w:rPr>
              <w:t xml:space="preserve">of the currently presented applications </w:t>
            </w:r>
            <w:r w:rsidR="00CE7F29" w:rsidRPr="00E86669">
              <w:rPr>
                <w:sz w:val="22"/>
                <w:szCs w:val="22"/>
              </w:rPr>
              <w:t>will evolve</w:t>
            </w:r>
            <w:r w:rsidR="008E3A2B" w:rsidRPr="00E86669">
              <w:rPr>
                <w:sz w:val="22"/>
                <w:szCs w:val="22"/>
              </w:rPr>
              <w:t xml:space="preserve"> (rapidly)</w:t>
            </w:r>
            <w:r w:rsidR="006A398F" w:rsidRPr="00E86669">
              <w:rPr>
                <w:sz w:val="22"/>
                <w:szCs w:val="22"/>
              </w:rPr>
              <w:t xml:space="preserve">, it may be </w:t>
            </w:r>
            <w:r w:rsidR="00B77B3C" w:rsidRPr="00E86669">
              <w:rPr>
                <w:sz w:val="22"/>
                <w:szCs w:val="22"/>
              </w:rPr>
              <w:t>more straightforward</w:t>
            </w:r>
            <w:r w:rsidR="006A398F" w:rsidRPr="00E86669">
              <w:rPr>
                <w:sz w:val="22"/>
                <w:szCs w:val="22"/>
              </w:rPr>
              <w:t xml:space="preserve"> to describe the potential applications</w:t>
            </w:r>
            <w:r w:rsidR="00B77B3C" w:rsidRPr="00E86669">
              <w:rPr>
                <w:sz w:val="22"/>
                <w:szCs w:val="22"/>
              </w:rPr>
              <w:t xml:space="preserve"> first, and subsequently </w:t>
            </w:r>
            <w:r w:rsidR="001711E1">
              <w:rPr>
                <w:sz w:val="22"/>
                <w:szCs w:val="22"/>
              </w:rPr>
              <w:t xml:space="preserve">rank them </w:t>
            </w:r>
            <w:r w:rsidR="00B77B3C" w:rsidRPr="00E86669">
              <w:rPr>
                <w:sz w:val="22"/>
                <w:szCs w:val="22"/>
              </w:rPr>
              <w:t>based on development status</w:t>
            </w:r>
            <w:r w:rsidR="003444BE" w:rsidRPr="00E86669">
              <w:rPr>
                <w:sz w:val="22"/>
                <w:szCs w:val="22"/>
              </w:rPr>
              <w:t xml:space="preserve">. The information </w:t>
            </w:r>
            <w:r w:rsidR="00B77B3C" w:rsidRPr="00E86669">
              <w:rPr>
                <w:sz w:val="22"/>
                <w:szCs w:val="22"/>
              </w:rPr>
              <w:t>provided in the report</w:t>
            </w:r>
            <w:r w:rsidR="003444BE" w:rsidRPr="00E86669">
              <w:rPr>
                <w:sz w:val="22"/>
                <w:szCs w:val="22"/>
              </w:rPr>
              <w:t xml:space="preserve"> could easily be reshuffled accordingly</w:t>
            </w:r>
            <w:r w:rsidR="00267925" w:rsidRPr="00E86669">
              <w:rPr>
                <w:sz w:val="22"/>
                <w:szCs w:val="22"/>
              </w:rPr>
              <w:t xml:space="preserve">. This approach </w:t>
            </w:r>
            <w:r w:rsidR="003444BE" w:rsidRPr="00E86669">
              <w:rPr>
                <w:sz w:val="22"/>
                <w:szCs w:val="22"/>
              </w:rPr>
              <w:t xml:space="preserve">may </w:t>
            </w:r>
            <w:r w:rsidR="00267925" w:rsidRPr="00E86669">
              <w:rPr>
                <w:sz w:val="22"/>
                <w:szCs w:val="22"/>
              </w:rPr>
              <w:t xml:space="preserve">also </w:t>
            </w:r>
            <w:r w:rsidR="00D10749" w:rsidRPr="00E86669">
              <w:rPr>
                <w:sz w:val="22"/>
                <w:szCs w:val="22"/>
              </w:rPr>
              <w:t xml:space="preserve">ease </w:t>
            </w:r>
            <w:r w:rsidR="00513553" w:rsidRPr="00E86669">
              <w:rPr>
                <w:sz w:val="22"/>
                <w:szCs w:val="22"/>
              </w:rPr>
              <w:t>regular</w:t>
            </w:r>
            <w:r w:rsidR="00D10749" w:rsidRPr="00E86669">
              <w:rPr>
                <w:sz w:val="22"/>
                <w:szCs w:val="22"/>
              </w:rPr>
              <w:t xml:space="preserve"> </w:t>
            </w:r>
            <w:r w:rsidR="00513553" w:rsidRPr="00E86669">
              <w:rPr>
                <w:sz w:val="22"/>
                <w:szCs w:val="22"/>
              </w:rPr>
              <w:t xml:space="preserve">updates of </w:t>
            </w:r>
            <w:r w:rsidR="00D10749" w:rsidRPr="00E86669">
              <w:rPr>
                <w:sz w:val="22"/>
                <w:szCs w:val="22"/>
              </w:rPr>
              <w:t xml:space="preserve">the report in </w:t>
            </w:r>
            <w:r w:rsidR="00890821" w:rsidRPr="00E86669">
              <w:rPr>
                <w:sz w:val="22"/>
                <w:szCs w:val="22"/>
              </w:rPr>
              <w:t xml:space="preserve">the </w:t>
            </w:r>
            <w:r w:rsidR="00D10749" w:rsidRPr="00E86669">
              <w:rPr>
                <w:sz w:val="22"/>
                <w:szCs w:val="22"/>
              </w:rPr>
              <w:t xml:space="preserve">light </w:t>
            </w:r>
            <w:r w:rsidR="00890821" w:rsidRPr="00E86669">
              <w:rPr>
                <w:sz w:val="22"/>
                <w:szCs w:val="22"/>
              </w:rPr>
              <w:t>of</w:t>
            </w:r>
            <w:r w:rsidR="00D10749" w:rsidRPr="00E86669">
              <w:rPr>
                <w:sz w:val="22"/>
                <w:szCs w:val="22"/>
              </w:rPr>
              <w:t xml:space="preserve"> recent </w:t>
            </w:r>
            <w:r w:rsidR="001968CB">
              <w:rPr>
                <w:sz w:val="22"/>
                <w:szCs w:val="22"/>
              </w:rPr>
              <w:t xml:space="preserve">and new </w:t>
            </w:r>
            <w:r w:rsidR="00D10749" w:rsidRPr="00E86669">
              <w:rPr>
                <w:sz w:val="22"/>
                <w:szCs w:val="22"/>
              </w:rPr>
              <w:t>developments</w:t>
            </w:r>
            <w:r w:rsidR="00513553" w:rsidRPr="00E86669">
              <w:rPr>
                <w:sz w:val="22"/>
                <w:szCs w:val="22"/>
              </w:rPr>
              <w:t xml:space="preserve"> in the field</w:t>
            </w:r>
          </w:p>
        </w:tc>
      </w:tr>
      <w:tr w:rsidR="00E94101" w:rsidRPr="00E86669" w14:paraId="71405D90" w14:textId="77777777" w:rsidTr="00307697">
        <w:trPr>
          <w:cantSplit/>
          <w:trHeight w:val="233"/>
        </w:trPr>
        <w:tc>
          <w:tcPr>
            <w:tcW w:w="908" w:type="dxa"/>
          </w:tcPr>
          <w:p w14:paraId="63819C38" w14:textId="69819DCD" w:rsidR="00E94101" w:rsidRPr="00E86669" w:rsidRDefault="00E94101" w:rsidP="008955AC">
            <w:pPr>
              <w:rPr>
                <w:sz w:val="22"/>
                <w:szCs w:val="22"/>
              </w:rPr>
            </w:pPr>
            <w:r w:rsidRPr="00E86669">
              <w:rPr>
                <w:sz w:val="22"/>
                <w:szCs w:val="22"/>
              </w:rPr>
              <w:t>29</w:t>
            </w:r>
          </w:p>
        </w:tc>
        <w:tc>
          <w:tcPr>
            <w:tcW w:w="1255" w:type="dxa"/>
          </w:tcPr>
          <w:p w14:paraId="7E52F8B7" w14:textId="7CD4B638" w:rsidR="00E94101" w:rsidRPr="00E86669" w:rsidRDefault="00FC7ADF" w:rsidP="008955AC">
            <w:pPr>
              <w:rPr>
                <w:sz w:val="22"/>
                <w:szCs w:val="22"/>
              </w:rPr>
            </w:pPr>
            <w:r w:rsidRPr="00E86669">
              <w:rPr>
                <w:sz w:val="22"/>
                <w:szCs w:val="22"/>
              </w:rPr>
              <w:t>31-33</w:t>
            </w:r>
          </w:p>
        </w:tc>
        <w:tc>
          <w:tcPr>
            <w:tcW w:w="8025" w:type="dxa"/>
            <w:gridSpan w:val="2"/>
          </w:tcPr>
          <w:p w14:paraId="7C213808" w14:textId="326B66F7" w:rsidR="00164F3D" w:rsidRPr="00E86669" w:rsidRDefault="00FC7ADF" w:rsidP="00164F3D">
            <w:pPr>
              <w:rPr>
                <w:sz w:val="22"/>
                <w:szCs w:val="22"/>
              </w:rPr>
            </w:pPr>
            <w:r w:rsidRPr="00E86669">
              <w:rPr>
                <w:sz w:val="22"/>
                <w:szCs w:val="22"/>
              </w:rPr>
              <w:t>The criteria used for the categorisation</w:t>
            </w:r>
            <w:r w:rsidR="00890821" w:rsidRPr="00E86669">
              <w:rPr>
                <w:sz w:val="22"/>
                <w:szCs w:val="22"/>
              </w:rPr>
              <w:t>/ranking</w:t>
            </w:r>
            <w:r w:rsidRPr="00E86669">
              <w:rPr>
                <w:sz w:val="22"/>
                <w:szCs w:val="22"/>
              </w:rPr>
              <w:t xml:space="preserve"> </w:t>
            </w:r>
            <w:r w:rsidR="00890821" w:rsidRPr="00E86669">
              <w:rPr>
                <w:sz w:val="22"/>
                <w:szCs w:val="22"/>
              </w:rPr>
              <w:t>would benefit from being described</w:t>
            </w:r>
            <w:r w:rsidR="000C459D" w:rsidRPr="00E86669">
              <w:rPr>
                <w:sz w:val="22"/>
                <w:szCs w:val="22"/>
              </w:rPr>
              <w:t xml:space="preserve"> in more detail,</w:t>
            </w:r>
            <w:r w:rsidR="00890821" w:rsidRPr="00E86669">
              <w:rPr>
                <w:sz w:val="22"/>
                <w:szCs w:val="22"/>
              </w:rPr>
              <w:t xml:space="preserve"> as this would </w:t>
            </w:r>
            <w:r w:rsidRPr="00E86669">
              <w:rPr>
                <w:sz w:val="22"/>
                <w:szCs w:val="22"/>
              </w:rPr>
              <w:t>add clarity</w:t>
            </w:r>
            <w:r w:rsidR="001B5362" w:rsidRPr="00E86669">
              <w:rPr>
                <w:sz w:val="22"/>
                <w:szCs w:val="22"/>
              </w:rPr>
              <w:t xml:space="preserve"> and improve understanding</w:t>
            </w:r>
            <w:r w:rsidR="00011441" w:rsidRPr="00E86669">
              <w:rPr>
                <w:sz w:val="22"/>
                <w:szCs w:val="22"/>
              </w:rPr>
              <w:t xml:space="preserve">. </w:t>
            </w:r>
            <w:r w:rsidR="00056C5F" w:rsidRPr="00E86669">
              <w:rPr>
                <w:sz w:val="22"/>
                <w:szCs w:val="22"/>
              </w:rPr>
              <w:t>In this respect, there is</w:t>
            </w:r>
            <w:r w:rsidR="009946F4" w:rsidRPr="00E86669">
              <w:rPr>
                <w:sz w:val="22"/>
                <w:szCs w:val="22"/>
              </w:rPr>
              <w:t xml:space="preserve"> a need to better to define what is meant with “confined field trials”</w:t>
            </w:r>
            <w:r w:rsidR="0048200E" w:rsidRPr="00E86669">
              <w:rPr>
                <w:sz w:val="22"/>
                <w:szCs w:val="22"/>
              </w:rPr>
              <w:t xml:space="preserve"> and </w:t>
            </w:r>
            <w:r w:rsidR="00432218" w:rsidRPr="00E86669">
              <w:rPr>
                <w:sz w:val="22"/>
                <w:szCs w:val="22"/>
              </w:rPr>
              <w:t>list</w:t>
            </w:r>
            <w:r w:rsidR="0048200E" w:rsidRPr="00E86669">
              <w:rPr>
                <w:sz w:val="22"/>
                <w:szCs w:val="22"/>
              </w:rPr>
              <w:t xml:space="preserve"> concrete </w:t>
            </w:r>
            <w:r w:rsidR="00432218" w:rsidRPr="00E86669">
              <w:rPr>
                <w:sz w:val="22"/>
                <w:szCs w:val="22"/>
              </w:rPr>
              <w:t>types of field trails that are considered “confined field trials”</w:t>
            </w:r>
            <w:r w:rsidR="008B021D" w:rsidRPr="00E86669">
              <w:rPr>
                <w:sz w:val="22"/>
                <w:szCs w:val="22"/>
              </w:rPr>
              <w:t>.</w:t>
            </w:r>
            <w:r w:rsidR="009946F4" w:rsidRPr="00E86669">
              <w:rPr>
                <w:sz w:val="22"/>
                <w:szCs w:val="22"/>
              </w:rPr>
              <w:t xml:space="preserve"> The terminology and classification used in the 2021 revised WHO framework </w:t>
            </w:r>
            <w:r w:rsidR="00164F3D" w:rsidRPr="00E86669">
              <w:rPr>
                <w:sz w:val="22"/>
                <w:szCs w:val="22"/>
              </w:rPr>
              <w:t xml:space="preserve">for testing GM mosquitoes could be </w:t>
            </w:r>
            <w:r w:rsidR="009E57FE" w:rsidRPr="00E86669">
              <w:rPr>
                <w:sz w:val="22"/>
                <w:szCs w:val="22"/>
              </w:rPr>
              <w:t xml:space="preserve">helpful to </w:t>
            </w:r>
            <w:r w:rsidR="008B021D" w:rsidRPr="00E86669">
              <w:rPr>
                <w:sz w:val="22"/>
                <w:szCs w:val="22"/>
              </w:rPr>
              <w:t>reproduce</w:t>
            </w:r>
            <w:r w:rsidR="009D10F5" w:rsidRPr="00E86669">
              <w:rPr>
                <w:sz w:val="22"/>
                <w:szCs w:val="22"/>
              </w:rPr>
              <w:t xml:space="preserve"> here</w:t>
            </w:r>
            <w:r w:rsidR="009E57FE" w:rsidRPr="00E86669">
              <w:rPr>
                <w:sz w:val="22"/>
                <w:szCs w:val="22"/>
              </w:rPr>
              <w:t xml:space="preserve"> and may </w:t>
            </w:r>
            <w:r w:rsidR="00132070" w:rsidRPr="00E86669">
              <w:rPr>
                <w:sz w:val="22"/>
                <w:szCs w:val="22"/>
              </w:rPr>
              <w:t xml:space="preserve">ensure the use of </w:t>
            </w:r>
            <w:r w:rsidR="000204F0" w:rsidRPr="00E86669">
              <w:rPr>
                <w:sz w:val="22"/>
                <w:szCs w:val="22"/>
              </w:rPr>
              <w:t>standardis</w:t>
            </w:r>
            <w:r w:rsidR="00132070" w:rsidRPr="00E86669">
              <w:rPr>
                <w:sz w:val="22"/>
                <w:szCs w:val="22"/>
              </w:rPr>
              <w:t>ed</w:t>
            </w:r>
            <w:r w:rsidR="000204F0" w:rsidRPr="00E86669">
              <w:rPr>
                <w:sz w:val="22"/>
                <w:szCs w:val="22"/>
              </w:rPr>
              <w:t>/harmonis</w:t>
            </w:r>
            <w:r w:rsidR="00132070" w:rsidRPr="00E86669">
              <w:rPr>
                <w:sz w:val="22"/>
                <w:szCs w:val="22"/>
              </w:rPr>
              <w:t xml:space="preserve">ed </w:t>
            </w:r>
            <w:r w:rsidR="000204F0" w:rsidRPr="00E86669">
              <w:rPr>
                <w:sz w:val="22"/>
                <w:szCs w:val="22"/>
              </w:rPr>
              <w:t>terminology</w:t>
            </w:r>
            <w:r w:rsidR="009D10F5" w:rsidRPr="00E86669">
              <w:rPr>
                <w:sz w:val="22"/>
                <w:szCs w:val="22"/>
              </w:rPr>
              <w:t>.</w:t>
            </w:r>
            <w:r w:rsidR="009946F4" w:rsidRPr="00E86669">
              <w:rPr>
                <w:sz w:val="22"/>
                <w:szCs w:val="22"/>
              </w:rPr>
              <w:t xml:space="preserve"> </w:t>
            </w:r>
          </w:p>
          <w:p w14:paraId="4BCEAA3C" w14:textId="77777777" w:rsidR="00164F3D" w:rsidRPr="00E86669" w:rsidRDefault="00164F3D" w:rsidP="00164F3D">
            <w:pPr>
              <w:rPr>
                <w:sz w:val="22"/>
                <w:szCs w:val="22"/>
              </w:rPr>
            </w:pPr>
          </w:p>
          <w:p w14:paraId="501C85A8" w14:textId="0A7FF173" w:rsidR="00011441" w:rsidRPr="00E86669" w:rsidRDefault="00164F3D" w:rsidP="009D10F5">
            <w:pPr>
              <w:rPr>
                <w:sz w:val="22"/>
                <w:szCs w:val="22"/>
              </w:rPr>
            </w:pPr>
            <w:r w:rsidRPr="00E86669">
              <w:rPr>
                <w:sz w:val="22"/>
                <w:szCs w:val="22"/>
              </w:rPr>
              <w:t xml:space="preserve">WHO (World Health Organization), 2021. </w:t>
            </w:r>
            <w:r w:rsidRPr="00E86669">
              <w:rPr>
                <w:rStyle w:val="A2"/>
                <w:rFonts w:cs="Times New Roman"/>
                <w:sz w:val="22"/>
                <w:szCs w:val="22"/>
              </w:rPr>
              <w:t xml:space="preserve">Guidance framework for testing genetically modified mosquitoes, second edition. ISBN 978-92-4-002523-3. Available from: </w:t>
            </w:r>
            <w:hyperlink r:id="rId12" w:history="1">
              <w:r w:rsidRPr="00E86669">
                <w:rPr>
                  <w:rStyle w:val="Hyperlink"/>
                  <w:sz w:val="22"/>
                  <w:szCs w:val="22"/>
                </w:rPr>
                <w:t>https://www.who.int/publications/i/item/9789240025233</w:t>
              </w:r>
            </w:hyperlink>
          </w:p>
        </w:tc>
      </w:tr>
      <w:tr w:rsidR="00804F3C" w:rsidRPr="00E86669" w14:paraId="721E94D5" w14:textId="77777777" w:rsidTr="00804F3C">
        <w:trPr>
          <w:cantSplit/>
          <w:trHeight w:val="233"/>
        </w:trPr>
        <w:tc>
          <w:tcPr>
            <w:tcW w:w="908" w:type="dxa"/>
          </w:tcPr>
          <w:p w14:paraId="421A5B7B" w14:textId="77777777" w:rsidR="00804F3C" w:rsidRPr="00E86669" w:rsidRDefault="00804F3C" w:rsidP="00804F3C">
            <w:pPr>
              <w:rPr>
                <w:sz w:val="22"/>
                <w:szCs w:val="22"/>
              </w:rPr>
            </w:pPr>
            <w:r w:rsidRPr="00E86669">
              <w:rPr>
                <w:sz w:val="22"/>
                <w:szCs w:val="22"/>
              </w:rPr>
              <w:t>29</w:t>
            </w:r>
          </w:p>
        </w:tc>
        <w:tc>
          <w:tcPr>
            <w:tcW w:w="1255" w:type="dxa"/>
          </w:tcPr>
          <w:p w14:paraId="08345654" w14:textId="77777777" w:rsidR="00804F3C" w:rsidRPr="00E86669" w:rsidRDefault="00804F3C" w:rsidP="00804F3C">
            <w:pPr>
              <w:rPr>
                <w:sz w:val="22"/>
                <w:szCs w:val="22"/>
              </w:rPr>
            </w:pPr>
            <w:r w:rsidRPr="00E86669">
              <w:rPr>
                <w:sz w:val="22"/>
                <w:szCs w:val="22"/>
              </w:rPr>
              <w:t>35</w:t>
            </w:r>
          </w:p>
        </w:tc>
        <w:tc>
          <w:tcPr>
            <w:tcW w:w="8025" w:type="dxa"/>
            <w:gridSpan w:val="2"/>
          </w:tcPr>
          <w:p w14:paraId="5AE0836B" w14:textId="766BA6B6" w:rsidR="00804F3C" w:rsidRPr="00E86669" w:rsidRDefault="00804F3C" w:rsidP="00804F3C">
            <w:pPr>
              <w:rPr>
                <w:sz w:val="22"/>
                <w:szCs w:val="22"/>
              </w:rPr>
            </w:pPr>
            <w:r w:rsidRPr="00E86669">
              <w:rPr>
                <w:sz w:val="22"/>
                <w:szCs w:val="22"/>
              </w:rPr>
              <w:t xml:space="preserve">For this </w:t>
            </w:r>
            <w:r>
              <w:rPr>
                <w:sz w:val="22"/>
                <w:szCs w:val="22"/>
              </w:rPr>
              <w:t>category</w:t>
            </w:r>
            <w:r w:rsidRPr="00E86669">
              <w:rPr>
                <w:sz w:val="22"/>
                <w:szCs w:val="22"/>
              </w:rPr>
              <w:t xml:space="preserve"> the word “commercially available” sounds strange as wild settings are usually managed by governments (as natural parks etc). Also </w:t>
            </w:r>
            <w:r>
              <w:rPr>
                <w:sz w:val="22"/>
                <w:szCs w:val="22"/>
              </w:rPr>
              <w:t>we</w:t>
            </w:r>
            <w:r w:rsidRPr="00E86669">
              <w:rPr>
                <w:sz w:val="22"/>
                <w:szCs w:val="22"/>
              </w:rPr>
              <w:t xml:space="preserve"> would expect for this category pro bono, sponsored or academic products.</w:t>
            </w:r>
          </w:p>
        </w:tc>
      </w:tr>
      <w:tr w:rsidR="008955AC" w:rsidRPr="00E86669" w14:paraId="6817A6D0" w14:textId="77777777" w:rsidTr="00307697">
        <w:trPr>
          <w:cantSplit/>
          <w:trHeight w:val="233"/>
        </w:trPr>
        <w:tc>
          <w:tcPr>
            <w:tcW w:w="908" w:type="dxa"/>
          </w:tcPr>
          <w:p w14:paraId="4455D7DB" w14:textId="5F79A16B" w:rsidR="008955AC" w:rsidRPr="00E86669" w:rsidRDefault="008955AC" w:rsidP="008955AC">
            <w:pPr>
              <w:rPr>
                <w:sz w:val="22"/>
                <w:szCs w:val="22"/>
              </w:rPr>
            </w:pPr>
            <w:r w:rsidRPr="00E86669">
              <w:rPr>
                <w:sz w:val="22"/>
                <w:szCs w:val="22"/>
              </w:rPr>
              <w:t>30</w:t>
            </w:r>
          </w:p>
        </w:tc>
        <w:tc>
          <w:tcPr>
            <w:tcW w:w="1255" w:type="dxa"/>
          </w:tcPr>
          <w:p w14:paraId="2C46BB89" w14:textId="27E8AD2F" w:rsidR="008955AC" w:rsidRPr="00E86669" w:rsidRDefault="008955AC" w:rsidP="008955AC">
            <w:pPr>
              <w:rPr>
                <w:sz w:val="22"/>
                <w:szCs w:val="22"/>
              </w:rPr>
            </w:pPr>
            <w:r w:rsidRPr="00E86669">
              <w:rPr>
                <w:sz w:val="22"/>
                <w:szCs w:val="22"/>
              </w:rPr>
              <w:t>27 &amp; 41</w:t>
            </w:r>
          </w:p>
        </w:tc>
        <w:tc>
          <w:tcPr>
            <w:tcW w:w="8025" w:type="dxa"/>
            <w:gridSpan w:val="2"/>
          </w:tcPr>
          <w:p w14:paraId="5F762A35" w14:textId="1C4495DA" w:rsidR="00004E17" w:rsidRDefault="008955AC" w:rsidP="00004E17">
            <w:pPr>
              <w:rPr>
                <w:sz w:val="22"/>
                <w:szCs w:val="22"/>
              </w:rPr>
            </w:pPr>
            <w:r w:rsidRPr="00E86669">
              <w:rPr>
                <w:sz w:val="22"/>
                <w:szCs w:val="22"/>
              </w:rPr>
              <w:t xml:space="preserve">There are different ways to contribute to conservation purposes. Therefore, </w:t>
            </w:r>
            <w:r w:rsidR="00C363E6">
              <w:rPr>
                <w:sz w:val="22"/>
                <w:szCs w:val="22"/>
              </w:rPr>
              <w:t>could</w:t>
            </w:r>
            <w:r w:rsidRPr="00E86669">
              <w:rPr>
                <w:sz w:val="22"/>
                <w:szCs w:val="22"/>
              </w:rPr>
              <w:t xml:space="preserve"> different categories of “conservation purposes” be given instead, under an overarching title “conservation purposes.</w:t>
            </w:r>
            <w:r w:rsidR="00004E17">
              <w:rPr>
                <w:sz w:val="22"/>
                <w:szCs w:val="22"/>
              </w:rPr>
              <w:t xml:space="preserve"> Subheadings could </w:t>
            </w:r>
            <w:r w:rsidR="009A2137">
              <w:rPr>
                <w:sz w:val="22"/>
                <w:szCs w:val="22"/>
              </w:rPr>
              <w:t>be</w:t>
            </w:r>
            <w:r w:rsidR="00343496">
              <w:rPr>
                <w:sz w:val="22"/>
                <w:szCs w:val="22"/>
              </w:rPr>
              <w:t>, for example,</w:t>
            </w:r>
            <w:r w:rsidR="00004E17">
              <w:rPr>
                <w:sz w:val="22"/>
                <w:szCs w:val="22"/>
              </w:rPr>
              <w:t xml:space="preserve"> </w:t>
            </w:r>
            <w:r w:rsidR="00004E17" w:rsidRPr="00E86669">
              <w:rPr>
                <w:sz w:val="22"/>
                <w:szCs w:val="22"/>
              </w:rPr>
              <w:t>“applications for manag</w:t>
            </w:r>
            <w:r w:rsidR="00485B51">
              <w:rPr>
                <w:sz w:val="22"/>
                <w:szCs w:val="22"/>
              </w:rPr>
              <w:t xml:space="preserve">ing </w:t>
            </w:r>
            <w:r w:rsidR="00004E17" w:rsidRPr="00E86669">
              <w:rPr>
                <w:sz w:val="22"/>
                <w:szCs w:val="22"/>
              </w:rPr>
              <w:t>“unwanted</w:t>
            </w:r>
            <w:r w:rsidR="00343496">
              <w:rPr>
                <w:sz w:val="22"/>
                <w:szCs w:val="22"/>
              </w:rPr>
              <w:t>/</w:t>
            </w:r>
            <w:r w:rsidR="006F15A4">
              <w:rPr>
                <w:sz w:val="22"/>
                <w:szCs w:val="22"/>
              </w:rPr>
              <w:t>harmful/</w:t>
            </w:r>
            <w:r w:rsidR="00343496">
              <w:rPr>
                <w:sz w:val="22"/>
                <w:szCs w:val="22"/>
              </w:rPr>
              <w:t>invasive</w:t>
            </w:r>
            <w:r w:rsidR="00004E17" w:rsidRPr="00E86669">
              <w:rPr>
                <w:sz w:val="22"/>
                <w:szCs w:val="22"/>
              </w:rPr>
              <w:t>” target species</w:t>
            </w:r>
            <w:r w:rsidR="00BD397C">
              <w:rPr>
                <w:sz w:val="22"/>
                <w:szCs w:val="22"/>
              </w:rPr>
              <w:t>”</w:t>
            </w:r>
            <w:r w:rsidR="00004E17" w:rsidRPr="00E86669">
              <w:rPr>
                <w:sz w:val="22"/>
                <w:szCs w:val="22"/>
              </w:rPr>
              <w:t xml:space="preserve"> and “improving the resilience of wild animal and plant populations”? </w:t>
            </w:r>
          </w:p>
          <w:p w14:paraId="06BADF6E" w14:textId="77777777" w:rsidR="008955AC" w:rsidRPr="00E86669" w:rsidRDefault="008955AC" w:rsidP="008955AC">
            <w:pPr>
              <w:rPr>
                <w:sz w:val="22"/>
                <w:szCs w:val="22"/>
              </w:rPr>
            </w:pPr>
          </w:p>
          <w:p w14:paraId="0EF3AD02" w14:textId="77777777" w:rsidR="008955AC" w:rsidRPr="00E86669" w:rsidRDefault="008955AC" w:rsidP="008955AC">
            <w:pPr>
              <w:rPr>
                <w:sz w:val="22"/>
                <w:szCs w:val="22"/>
              </w:rPr>
            </w:pPr>
            <w:r w:rsidRPr="00E86669">
              <w:rPr>
                <w:sz w:val="22"/>
                <w:szCs w:val="22"/>
              </w:rPr>
              <w:t>Plus, could examples be given about possible engineered gene drives tailored towards (1) rescuing endangered species and (2) managing invasive species?</w:t>
            </w:r>
          </w:p>
          <w:p w14:paraId="177707EC" w14:textId="77777777" w:rsidR="00480D2D" w:rsidRPr="00E86669" w:rsidRDefault="00480D2D" w:rsidP="008955AC">
            <w:pPr>
              <w:rPr>
                <w:sz w:val="22"/>
                <w:szCs w:val="22"/>
              </w:rPr>
            </w:pPr>
          </w:p>
          <w:p w14:paraId="30953B7B" w14:textId="1AE779B9" w:rsidR="00480D2D" w:rsidRPr="00E86669" w:rsidRDefault="00480D2D" w:rsidP="008955AC">
            <w:pPr>
              <w:rPr>
                <w:sz w:val="22"/>
                <w:szCs w:val="22"/>
              </w:rPr>
            </w:pPr>
          </w:p>
        </w:tc>
      </w:tr>
      <w:tr w:rsidR="008955AC" w:rsidRPr="00E86669" w14:paraId="408ECA5A" w14:textId="77777777" w:rsidTr="00307697">
        <w:trPr>
          <w:cantSplit/>
          <w:trHeight w:val="233"/>
        </w:trPr>
        <w:tc>
          <w:tcPr>
            <w:tcW w:w="908" w:type="dxa"/>
          </w:tcPr>
          <w:p w14:paraId="493BB4E5" w14:textId="2E1F7662" w:rsidR="008955AC" w:rsidRPr="00E86669" w:rsidRDefault="004D3552" w:rsidP="008955AC">
            <w:pPr>
              <w:rPr>
                <w:sz w:val="22"/>
                <w:szCs w:val="22"/>
              </w:rPr>
            </w:pPr>
            <w:r w:rsidRPr="00E86669">
              <w:rPr>
                <w:sz w:val="22"/>
                <w:szCs w:val="22"/>
              </w:rPr>
              <w:t>31</w:t>
            </w:r>
          </w:p>
        </w:tc>
        <w:tc>
          <w:tcPr>
            <w:tcW w:w="1255" w:type="dxa"/>
          </w:tcPr>
          <w:p w14:paraId="12977FD3" w14:textId="04A532F8" w:rsidR="008955AC" w:rsidRPr="00E86669" w:rsidRDefault="004D3552" w:rsidP="008955AC">
            <w:pPr>
              <w:rPr>
                <w:sz w:val="22"/>
                <w:szCs w:val="22"/>
              </w:rPr>
            </w:pPr>
            <w:r w:rsidRPr="00E86669">
              <w:rPr>
                <w:sz w:val="22"/>
                <w:szCs w:val="22"/>
              </w:rPr>
              <w:t>27</w:t>
            </w:r>
          </w:p>
        </w:tc>
        <w:tc>
          <w:tcPr>
            <w:tcW w:w="8025" w:type="dxa"/>
            <w:gridSpan w:val="2"/>
          </w:tcPr>
          <w:p w14:paraId="4B11B4D9" w14:textId="4D70A80E" w:rsidR="008955AC" w:rsidRPr="00E86669" w:rsidRDefault="004D3552" w:rsidP="008955AC">
            <w:pPr>
              <w:rPr>
                <w:sz w:val="22"/>
                <w:szCs w:val="22"/>
              </w:rPr>
            </w:pPr>
            <w:r w:rsidRPr="00E86669">
              <w:rPr>
                <w:sz w:val="22"/>
                <w:szCs w:val="22"/>
              </w:rPr>
              <w:t xml:space="preserve">Are the examples given to be considered as </w:t>
            </w:r>
            <w:r w:rsidR="004C2DBA" w:rsidRPr="00E86669">
              <w:rPr>
                <w:sz w:val="22"/>
                <w:szCs w:val="22"/>
              </w:rPr>
              <w:t>deliberate releases</w:t>
            </w:r>
            <w:r w:rsidR="00A870D9" w:rsidRPr="00E86669">
              <w:rPr>
                <w:sz w:val="22"/>
                <w:szCs w:val="22"/>
              </w:rPr>
              <w:t xml:space="preserve"> into the environment </w:t>
            </w:r>
            <w:r w:rsidR="004C2DBA" w:rsidRPr="00E86669">
              <w:rPr>
                <w:sz w:val="22"/>
                <w:szCs w:val="22"/>
              </w:rPr>
              <w:t xml:space="preserve">for </w:t>
            </w:r>
            <w:r w:rsidR="00A870D9" w:rsidRPr="00E86669">
              <w:rPr>
                <w:sz w:val="22"/>
                <w:szCs w:val="22"/>
              </w:rPr>
              <w:t>“commercial” or “experimental” purposes?</w:t>
            </w:r>
            <w:r w:rsidR="003E7F55" w:rsidRPr="00E86669">
              <w:rPr>
                <w:sz w:val="22"/>
                <w:szCs w:val="22"/>
              </w:rPr>
              <w:t xml:space="preserve"> </w:t>
            </w:r>
            <w:r w:rsidR="00283773" w:rsidRPr="00E86669">
              <w:rPr>
                <w:sz w:val="22"/>
                <w:szCs w:val="22"/>
              </w:rPr>
              <w:t xml:space="preserve">Would </w:t>
            </w:r>
            <w:r w:rsidR="00F352EE" w:rsidRPr="00E86669">
              <w:rPr>
                <w:sz w:val="22"/>
                <w:szCs w:val="22"/>
              </w:rPr>
              <w:t xml:space="preserve">some of the “self-limiting </w:t>
            </w:r>
            <w:r w:rsidR="00782585" w:rsidRPr="00E86669">
              <w:rPr>
                <w:sz w:val="22"/>
                <w:szCs w:val="22"/>
              </w:rPr>
              <w:t xml:space="preserve">GM </w:t>
            </w:r>
            <w:r w:rsidR="00F352EE" w:rsidRPr="00E86669">
              <w:rPr>
                <w:sz w:val="22"/>
                <w:szCs w:val="22"/>
              </w:rPr>
              <w:t xml:space="preserve">insect applications” </w:t>
            </w:r>
            <w:r w:rsidR="00916767" w:rsidRPr="00E86669">
              <w:rPr>
                <w:sz w:val="22"/>
                <w:szCs w:val="22"/>
              </w:rPr>
              <w:t xml:space="preserve">listed here </w:t>
            </w:r>
            <w:r w:rsidR="00283773" w:rsidRPr="00E86669">
              <w:rPr>
                <w:sz w:val="22"/>
                <w:szCs w:val="22"/>
              </w:rPr>
              <w:t>fall under “advanced development”</w:t>
            </w:r>
            <w:r w:rsidR="00916767" w:rsidRPr="00E86669">
              <w:rPr>
                <w:sz w:val="22"/>
                <w:szCs w:val="22"/>
              </w:rPr>
              <w:t xml:space="preserve"> category instead of “commercially available’</w:t>
            </w:r>
            <w:r w:rsidR="00283773" w:rsidRPr="00E86669">
              <w:rPr>
                <w:sz w:val="22"/>
                <w:szCs w:val="22"/>
              </w:rPr>
              <w:t>?</w:t>
            </w:r>
          </w:p>
          <w:p w14:paraId="0361C52F" w14:textId="77777777" w:rsidR="00916767" w:rsidRPr="00E86669" w:rsidRDefault="00916767" w:rsidP="008955AC">
            <w:pPr>
              <w:rPr>
                <w:sz w:val="22"/>
                <w:szCs w:val="22"/>
              </w:rPr>
            </w:pPr>
          </w:p>
          <w:p w14:paraId="01814244" w14:textId="2288D946" w:rsidR="00916767" w:rsidRPr="00E86669" w:rsidRDefault="00916767" w:rsidP="008955AC">
            <w:pPr>
              <w:rPr>
                <w:sz w:val="22"/>
                <w:szCs w:val="22"/>
              </w:rPr>
            </w:pPr>
            <w:r w:rsidRPr="00E86669">
              <w:rPr>
                <w:sz w:val="22"/>
                <w:szCs w:val="22"/>
              </w:rPr>
              <w:t>Note also that additional and more recent releases with self-limiting GM</w:t>
            </w:r>
            <w:r w:rsidR="00782585" w:rsidRPr="00E86669">
              <w:rPr>
                <w:sz w:val="22"/>
                <w:szCs w:val="22"/>
              </w:rPr>
              <w:t xml:space="preserve"> insects</w:t>
            </w:r>
            <w:r w:rsidRPr="00E86669">
              <w:rPr>
                <w:sz w:val="22"/>
                <w:szCs w:val="22"/>
              </w:rPr>
              <w:t xml:space="preserve"> have been conducted; some of which may be relevant to mention</w:t>
            </w:r>
            <w:r w:rsidR="00782585" w:rsidRPr="00E86669">
              <w:rPr>
                <w:sz w:val="22"/>
                <w:szCs w:val="22"/>
              </w:rPr>
              <w:t xml:space="preserve"> for completeness.</w:t>
            </w:r>
          </w:p>
          <w:p w14:paraId="089BECEA" w14:textId="77777777" w:rsidR="000F7862" w:rsidRPr="00E86669" w:rsidRDefault="000F7862" w:rsidP="008955AC">
            <w:pPr>
              <w:rPr>
                <w:sz w:val="22"/>
                <w:szCs w:val="22"/>
              </w:rPr>
            </w:pPr>
          </w:p>
          <w:p w14:paraId="75CB15EC" w14:textId="77777777" w:rsidR="000F7862" w:rsidRPr="00E86669" w:rsidRDefault="000F7862" w:rsidP="008955AC">
            <w:pPr>
              <w:rPr>
                <w:sz w:val="22"/>
                <w:szCs w:val="22"/>
              </w:rPr>
            </w:pPr>
            <w:r w:rsidRPr="00E86669">
              <w:rPr>
                <w:sz w:val="22"/>
                <w:szCs w:val="22"/>
              </w:rPr>
              <w:t xml:space="preserve">Plus, in </w:t>
            </w:r>
            <w:r w:rsidR="00782585" w:rsidRPr="00E86669">
              <w:rPr>
                <w:sz w:val="22"/>
                <w:szCs w:val="22"/>
              </w:rPr>
              <w:t xml:space="preserve">the </w:t>
            </w:r>
            <w:r w:rsidRPr="00E86669">
              <w:rPr>
                <w:sz w:val="22"/>
                <w:szCs w:val="22"/>
              </w:rPr>
              <w:t>case</w:t>
            </w:r>
            <w:r w:rsidR="00782585" w:rsidRPr="00E86669">
              <w:rPr>
                <w:sz w:val="22"/>
                <w:szCs w:val="22"/>
              </w:rPr>
              <w:t xml:space="preserve"> of “self-limiting GM insects”</w:t>
            </w:r>
            <w:r w:rsidRPr="00E86669">
              <w:rPr>
                <w:sz w:val="22"/>
                <w:szCs w:val="22"/>
              </w:rPr>
              <w:t>, no distinction is made between “disease vector</w:t>
            </w:r>
            <w:r w:rsidR="00A834FF" w:rsidRPr="00E86669">
              <w:rPr>
                <w:sz w:val="22"/>
                <w:szCs w:val="22"/>
              </w:rPr>
              <w:t xml:space="preserve">” and “pest” control purposes, though </w:t>
            </w:r>
            <w:r w:rsidR="00746024" w:rsidRPr="00E86669">
              <w:rPr>
                <w:sz w:val="22"/>
                <w:szCs w:val="22"/>
              </w:rPr>
              <w:t xml:space="preserve">such a separation is </w:t>
            </w:r>
            <w:r w:rsidR="00A834FF" w:rsidRPr="00E86669">
              <w:rPr>
                <w:sz w:val="22"/>
                <w:szCs w:val="22"/>
              </w:rPr>
              <w:t xml:space="preserve">being </w:t>
            </w:r>
            <w:r w:rsidR="00746024" w:rsidRPr="00E86669">
              <w:rPr>
                <w:sz w:val="22"/>
                <w:szCs w:val="22"/>
              </w:rPr>
              <w:t>introduced</w:t>
            </w:r>
            <w:r w:rsidR="004A6FF1" w:rsidRPr="00E86669">
              <w:rPr>
                <w:sz w:val="22"/>
                <w:szCs w:val="22"/>
              </w:rPr>
              <w:t xml:space="preserve"> for engineered gene drive applications</w:t>
            </w:r>
            <w:r w:rsidR="00A834FF" w:rsidRPr="00E86669">
              <w:rPr>
                <w:sz w:val="22"/>
                <w:szCs w:val="22"/>
              </w:rPr>
              <w:t xml:space="preserve"> </w:t>
            </w:r>
            <w:r w:rsidR="00746024" w:rsidRPr="00E86669">
              <w:rPr>
                <w:sz w:val="22"/>
                <w:szCs w:val="22"/>
              </w:rPr>
              <w:t>(some of which may also be considered as self-limiting GM insects)</w:t>
            </w:r>
            <w:r w:rsidR="00301B41" w:rsidRPr="00E86669">
              <w:rPr>
                <w:sz w:val="22"/>
                <w:szCs w:val="22"/>
              </w:rPr>
              <w:t>.</w:t>
            </w:r>
          </w:p>
          <w:p w14:paraId="3D09CB97" w14:textId="77777777" w:rsidR="00301B41" w:rsidRPr="00E86669" w:rsidRDefault="00301B41" w:rsidP="008955AC">
            <w:pPr>
              <w:rPr>
                <w:sz w:val="22"/>
                <w:szCs w:val="22"/>
              </w:rPr>
            </w:pPr>
          </w:p>
          <w:p w14:paraId="590F71D4" w14:textId="680BE88B" w:rsidR="00301B41" w:rsidRPr="00E86669" w:rsidRDefault="00301B41" w:rsidP="008955AC">
            <w:pPr>
              <w:rPr>
                <w:sz w:val="22"/>
                <w:szCs w:val="22"/>
              </w:rPr>
            </w:pPr>
            <w:r w:rsidRPr="00E86669">
              <w:rPr>
                <w:sz w:val="22"/>
                <w:szCs w:val="22"/>
              </w:rPr>
              <w:t xml:space="preserve">Note also that some GM insects with engineered gene drives are being designed to be self-limiting and localised. So by default, such systems could also be </w:t>
            </w:r>
            <w:r w:rsidR="00EC555B" w:rsidRPr="00E86669">
              <w:rPr>
                <w:sz w:val="22"/>
                <w:szCs w:val="22"/>
              </w:rPr>
              <w:t>discussed under the “self-limiting GM insects” heading</w:t>
            </w:r>
            <w:r w:rsidR="00735983" w:rsidRPr="00E86669">
              <w:rPr>
                <w:sz w:val="22"/>
                <w:szCs w:val="22"/>
              </w:rPr>
              <w:t>, so the headings used may benefit from further fune</w:t>
            </w:r>
            <w:r w:rsidR="000F7A48" w:rsidRPr="00E86669">
              <w:rPr>
                <w:sz w:val="22"/>
                <w:szCs w:val="22"/>
              </w:rPr>
              <w:t>-tuning</w:t>
            </w:r>
          </w:p>
        </w:tc>
      </w:tr>
      <w:tr w:rsidR="008955AC" w:rsidRPr="00E86669" w14:paraId="0318C714" w14:textId="77777777" w:rsidTr="00307697">
        <w:trPr>
          <w:cantSplit/>
          <w:trHeight w:val="233"/>
        </w:trPr>
        <w:tc>
          <w:tcPr>
            <w:tcW w:w="908" w:type="dxa"/>
          </w:tcPr>
          <w:p w14:paraId="368A20AC" w14:textId="1BED7405" w:rsidR="008955AC" w:rsidRPr="00E86669" w:rsidRDefault="00512156" w:rsidP="008955AC">
            <w:pPr>
              <w:rPr>
                <w:sz w:val="22"/>
                <w:szCs w:val="22"/>
              </w:rPr>
            </w:pPr>
            <w:r w:rsidRPr="00E86669">
              <w:rPr>
                <w:sz w:val="22"/>
                <w:szCs w:val="22"/>
              </w:rPr>
              <w:lastRenderedPageBreak/>
              <w:t>32</w:t>
            </w:r>
          </w:p>
        </w:tc>
        <w:tc>
          <w:tcPr>
            <w:tcW w:w="1255" w:type="dxa"/>
          </w:tcPr>
          <w:p w14:paraId="6C1441AB" w14:textId="57E04565" w:rsidR="008955AC" w:rsidRPr="00E86669" w:rsidRDefault="003B74CC" w:rsidP="008955AC">
            <w:pPr>
              <w:rPr>
                <w:sz w:val="22"/>
                <w:szCs w:val="22"/>
              </w:rPr>
            </w:pPr>
            <w:r w:rsidRPr="00E86669">
              <w:rPr>
                <w:sz w:val="22"/>
                <w:szCs w:val="22"/>
              </w:rPr>
              <w:t>6-8</w:t>
            </w:r>
          </w:p>
        </w:tc>
        <w:tc>
          <w:tcPr>
            <w:tcW w:w="8025" w:type="dxa"/>
            <w:gridSpan w:val="2"/>
          </w:tcPr>
          <w:p w14:paraId="3C96DBFC" w14:textId="43536CCB" w:rsidR="008955AC" w:rsidRPr="00E86669" w:rsidRDefault="003B74CC" w:rsidP="008955AC">
            <w:pPr>
              <w:rPr>
                <w:sz w:val="22"/>
                <w:szCs w:val="22"/>
              </w:rPr>
            </w:pPr>
            <w:r w:rsidRPr="00E86669">
              <w:rPr>
                <w:sz w:val="22"/>
                <w:szCs w:val="22"/>
              </w:rPr>
              <w:t xml:space="preserve">Not sure why </w:t>
            </w:r>
            <w:r w:rsidR="005F0C38" w:rsidRPr="00E86669">
              <w:rPr>
                <w:sz w:val="22"/>
                <w:szCs w:val="22"/>
              </w:rPr>
              <w:t xml:space="preserve">the term </w:t>
            </w:r>
            <w:r w:rsidRPr="00E86669">
              <w:rPr>
                <w:sz w:val="22"/>
                <w:szCs w:val="22"/>
              </w:rPr>
              <w:t>“orga</w:t>
            </w:r>
            <w:r w:rsidR="00DE6405" w:rsidRPr="00E86669">
              <w:rPr>
                <w:sz w:val="22"/>
                <w:szCs w:val="22"/>
              </w:rPr>
              <w:t xml:space="preserve">nisms” </w:t>
            </w:r>
            <w:r w:rsidR="005F0C38" w:rsidRPr="00E86669">
              <w:rPr>
                <w:sz w:val="22"/>
                <w:szCs w:val="22"/>
              </w:rPr>
              <w:t xml:space="preserve">is used in the introductory sentences. </w:t>
            </w:r>
            <w:r w:rsidR="00DE6405" w:rsidRPr="00E86669">
              <w:rPr>
                <w:sz w:val="22"/>
                <w:szCs w:val="22"/>
              </w:rPr>
              <w:t xml:space="preserve">Perhaps </w:t>
            </w:r>
            <w:r w:rsidR="005F0C38" w:rsidRPr="00E86669">
              <w:rPr>
                <w:sz w:val="22"/>
                <w:szCs w:val="22"/>
              </w:rPr>
              <w:t>the text could be made</w:t>
            </w:r>
            <w:r w:rsidR="00DE6405" w:rsidRPr="00E86669">
              <w:rPr>
                <w:sz w:val="22"/>
                <w:szCs w:val="22"/>
              </w:rPr>
              <w:t xml:space="preserve"> more specific by mention</w:t>
            </w:r>
            <w:r w:rsidR="005F0C38" w:rsidRPr="00E86669">
              <w:rPr>
                <w:sz w:val="22"/>
                <w:szCs w:val="22"/>
              </w:rPr>
              <w:t xml:space="preserve">ing </w:t>
            </w:r>
            <w:r w:rsidR="00DE6405" w:rsidRPr="00E86669">
              <w:rPr>
                <w:sz w:val="22"/>
                <w:szCs w:val="22"/>
              </w:rPr>
              <w:t>“disease-spreading mosquitoes”</w:t>
            </w:r>
            <w:r w:rsidR="005F0C38" w:rsidRPr="00E86669">
              <w:rPr>
                <w:sz w:val="22"/>
                <w:szCs w:val="22"/>
              </w:rPr>
              <w:t xml:space="preserve"> directly</w:t>
            </w:r>
            <w:r w:rsidR="00206586" w:rsidRPr="00E86669">
              <w:rPr>
                <w:sz w:val="22"/>
                <w:szCs w:val="22"/>
              </w:rPr>
              <w:t>.</w:t>
            </w:r>
          </w:p>
          <w:p w14:paraId="542A8373" w14:textId="3762E93B" w:rsidR="00206586" w:rsidRPr="00E86669" w:rsidRDefault="00206586" w:rsidP="008955AC">
            <w:pPr>
              <w:rPr>
                <w:sz w:val="22"/>
                <w:szCs w:val="22"/>
              </w:rPr>
            </w:pPr>
          </w:p>
          <w:p w14:paraId="0A6FFCC0" w14:textId="77777777" w:rsidR="00C7326A" w:rsidRPr="00E86669" w:rsidRDefault="00206586" w:rsidP="00C7326A">
            <w:pPr>
              <w:rPr>
                <w:sz w:val="22"/>
                <w:szCs w:val="22"/>
              </w:rPr>
            </w:pPr>
            <w:r w:rsidRPr="00E86669">
              <w:rPr>
                <w:sz w:val="22"/>
                <w:szCs w:val="22"/>
              </w:rPr>
              <w:t>Note also that more recent and relevant publications are available that could be cited here.</w:t>
            </w:r>
          </w:p>
          <w:p w14:paraId="04C78BBA" w14:textId="77777777" w:rsidR="00C7326A" w:rsidRPr="00E86669" w:rsidRDefault="00C7326A" w:rsidP="00C7326A">
            <w:pPr>
              <w:rPr>
                <w:sz w:val="22"/>
                <w:szCs w:val="22"/>
              </w:rPr>
            </w:pPr>
          </w:p>
          <w:p w14:paraId="60283F7F" w14:textId="5B234BD0" w:rsidR="00206586" w:rsidRPr="00E86669" w:rsidRDefault="00C7326A" w:rsidP="00B12A65">
            <w:pPr>
              <w:rPr>
                <w:sz w:val="22"/>
                <w:szCs w:val="22"/>
              </w:rPr>
            </w:pPr>
            <w:r w:rsidRPr="00E86669">
              <w:rPr>
                <w:sz w:val="22"/>
                <w:szCs w:val="22"/>
              </w:rPr>
              <w:t xml:space="preserve">Connolly JB, Mumford JD, Fuchs S et al (2021) Systematic identification of plausible pathways to harm via problem formulation for investigational releases of a population suppression gene drive to control the human malaria vector </w:t>
            </w:r>
            <w:r w:rsidRPr="00E86669">
              <w:rPr>
                <w:i/>
                <w:iCs/>
                <w:sz w:val="22"/>
                <w:szCs w:val="22"/>
              </w:rPr>
              <w:t>Anopheles gambiae</w:t>
            </w:r>
            <w:r w:rsidRPr="00E86669">
              <w:rPr>
                <w:sz w:val="22"/>
                <w:szCs w:val="22"/>
              </w:rPr>
              <w:t xml:space="preserve"> in West Africa. Malar Journal, doi:10.1186/s12936-021-03674-6</w:t>
            </w:r>
            <w:r w:rsidR="00206586" w:rsidRPr="00E86669">
              <w:rPr>
                <w:sz w:val="22"/>
                <w:szCs w:val="22"/>
              </w:rPr>
              <w:t xml:space="preserve"> </w:t>
            </w:r>
          </w:p>
        </w:tc>
      </w:tr>
      <w:tr w:rsidR="008955AC" w:rsidRPr="00E86669" w14:paraId="72A6FC51" w14:textId="77777777" w:rsidTr="00307697">
        <w:trPr>
          <w:cantSplit/>
          <w:trHeight w:val="233"/>
        </w:trPr>
        <w:tc>
          <w:tcPr>
            <w:tcW w:w="908" w:type="dxa"/>
          </w:tcPr>
          <w:p w14:paraId="6817BB80" w14:textId="3B46CB75" w:rsidR="008955AC" w:rsidRPr="00E86669" w:rsidRDefault="006E1F35" w:rsidP="008955AC">
            <w:pPr>
              <w:rPr>
                <w:sz w:val="22"/>
                <w:szCs w:val="22"/>
              </w:rPr>
            </w:pPr>
            <w:r w:rsidRPr="00E86669">
              <w:rPr>
                <w:sz w:val="22"/>
                <w:szCs w:val="22"/>
              </w:rPr>
              <w:t>32</w:t>
            </w:r>
          </w:p>
        </w:tc>
        <w:tc>
          <w:tcPr>
            <w:tcW w:w="1255" w:type="dxa"/>
          </w:tcPr>
          <w:p w14:paraId="71811622" w14:textId="2EC72C5A" w:rsidR="008955AC" w:rsidRPr="00E86669" w:rsidRDefault="0031030C" w:rsidP="008955AC">
            <w:pPr>
              <w:rPr>
                <w:sz w:val="22"/>
                <w:szCs w:val="22"/>
              </w:rPr>
            </w:pPr>
            <w:r w:rsidRPr="00E86669">
              <w:rPr>
                <w:sz w:val="22"/>
                <w:szCs w:val="22"/>
              </w:rPr>
              <w:t>16-19</w:t>
            </w:r>
          </w:p>
        </w:tc>
        <w:tc>
          <w:tcPr>
            <w:tcW w:w="8025" w:type="dxa"/>
            <w:gridSpan w:val="2"/>
          </w:tcPr>
          <w:p w14:paraId="003B0121" w14:textId="11515235" w:rsidR="008955AC" w:rsidRPr="00E86669" w:rsidRDefault="0031030C" w:rsidP="008955AC">
            <w:pPr>
              <w:rPr>
                <w:sz w:val="22"/>
                <w:szCs w:val="22"/>
              </w:rPr>
            </w:pPr>
            <w:r w:rsidRPr="00E86669">
              <w:rPr>
                <w:sz w:val="22"/>
                <w:szCs w:val="22"/>
              </w:rPr>
              <w:t xml:space="preserve">Is this work to be considered </w:t>
            </w:r>
            <w:r w:rsidR="00452C7E" w:rsidRPr="00E86669">
              <w:rPr>
                <w:sz w:val="22"/>
                <w:szCs w:val="22"/>
              </w:rPr>
              <w:t xml:space="preserve">as </w:t>
            </w:r>
            <w:r w:rsidRPr="00E86669">
              <w:rPr>
                <w:sz w:val="22"/>
                <w:szCs w:val="22"/>
              </w:rPr>
              <w:t xml:space="preserve">“research” or </w:t>
            </w:r>
            <w:r w:rsidR="00452C7E" w:rsidRPr="00E86669">
              <w:rPr>
                <w:sz w:val="22"/>
                <w:szCs w:val="22"/>
              </w:rPr>
              <w:t xml:space="preserve">“advanced development”? The criteria </w:t>
            </w:r>
            <w:r w:rsidR="000E7EAB" w:rsidRPr="00E86669">
              <w:rPr>
                <w:sz w:val="22"/>
                <w:szCs w:val="22"/>
              </w:rPr>
              <w:t>used for the categorisation could be better clarified to add clarity</w:t>
            </w:r>
            <w:r w:rsidR="009D10F5" w:rsidRPr="00E86669">
              <w:rPr>
                <w:sz w:val="22"/>
                <w:szCs w:val="22"/>
              </w:rPr>
              <w:t xml:space="preserve">. </w:t>
            </w:r>
            <w:r w:rsidR="00AC3B7F" w:rsidRPr="00E86669">
              <w:rPr>
                <w:sz w:val="22"/>
                <w:szCs w:val="22"/>
              </w:rPr>
              <w:t>Have “confined field trials” been conducted</w:t>
            </w:r>
            <w:r w:rsidR="00DB16D4" w:rsidRPr="00E86669">
              <w:rPr>
                <w:sz w:val="22"/>
                <w:szCs w:val="22"/>
              </w:rPr>
              <w:t xml:space="preserve"> for the application list here</w:t>
            </w:r>
            <w:r w:rsidR="00AC3B7F" w:rsidRPr="00E86669">
              <w:rPr>
                <w:sz w:val="22"/>
                <w:szCs w:val="22"/>
              </w:rPr>
              <w:t>?</w:t>
            </w:r>
            <w:r w:rsidR="009D10F5" w:rsidRPr="00E86669">
              <w:rPr>
                <w:sz w:val="22"/>
                <w:szCs w:val="22"/>
              </w:rPr>
              <w:t xml:space="preserve"> </w:t>
            </w:r>
          </w:p>
        </w:tc>
      </w:tr>
      <w:tr w:rsidR="008955AC" w:rsidRPr="00E86669" w14:paraId="5E2B84EA" w14:textId="77777777" w:rsidTr="00307697">
        <w:trPr>
          <w:cantSplit/>
          <w:trHeight w:val="233"/>
        </w:trPr>
        <w:tc>
          <w:tcPr>
            <w:tcW w:w="908" w:type="dxa"/>
          </w:tcPr>
          <w:p w14:paraId="3455A1C0" w14:textId="13A41B11" w:rsidR="008955AC" w:rsidRPr="00E86669" w:rsidRDefault="00350638" w:rsidP="008955AC">
            <w:pPr>
              <w:rPr>
                <w:sz w:val="22"/>
                <w:szCs w:val="22"/>
              </w:rPr>
            </w:pPr>
            <w:r w:rsidRPr="00E86669">
              <w:rPr>
                <w:sz w:val="22"/>
                <w:szCs w:val="22"/>
              </w:rPr>
              <w:t>32</w:t>
            </w:r>
          </w:p>
        </w:tc>
        <w:tc>
          <w:tcPr>
            <w:tcW w:w="1255" w:type="dxa"/>
          </w:tcPr>
          <w:p w14:paraId="542B1984" w14:textId="6A847D57" w:rsidR="008955AC" w:rsidRPr="00E86669" w:rsidRDefault="00350638" w:rsidP="008955AC">
            <w:pPr>
              <w:rPr>
                <w:sz w:val="22"/>
                <w:szCs w:val="22"/>
              </w:rPr>
            </w:pPr>
            <w:r w:rsidRPr="00E86669">
              <w:rPr>
                <w:sz w:val="22"/>
                <w:szCs w:val="22"/>
              </w:rPr>
              <w:t>20</w:t>
            </w:r>
          </w:p>
        </w:tc>
        <w:tc>
          <w:tcPr>
            <w:tcW w:w="8025" w:type="dxa"/>
            <w:gridSpan w:val="2"/>
          </w:tcPr>
          <w:p w14:paraId="1038EAA3" w14:textId="77777777" w:rsidR="002E505F" w:rsidRPr="00E86669" w:rsidRDefault="00350638" w:rsidP="008955AC">
            <w:pPr>
              <w:rPr>
                <w:sz w:val="22"/>
                <w:szCs w:val="22"/>
              </w:rPr>
            </w:pPr>
            <w:r w:rsidRPr="00E86669">
              <w:rPr>
                <w:sz w:val="22"/>
                <w:szCs w:val="22"/>
              </w:rPr>
              <w:t>Why are these cases labelled differently than the “self-limiting insects”</w:t>
            </w:r>
            <w:r w:rsidR="00A0229D" w:rsidRPr="00E86669">
              <w:rPr>
                <w:sz w:val="22"/>
                <w:szCs w:val="22"/>
              </w:rPr>
              <w:t xml:space="preserve"> mentioned earlier in the report</w:t>
            </w:r>
            <w:r w:rsidR="00E63FC1" w:rsidRPr="00E86669">
              <w:rPr>
                <w:sz w:val="22"/>
                <w:szCs w:val="22"/>
              </w:rPr>
              <w:t>?</w:t>
            </w:r>
            <w:r w:rsidR="00A406CA" w:rsidRPr="00E86669">
              <w:rPr>
                <w:sz w:val="22"/>
                <w:szCs w:val="22"/>
              </w:rPr>
              <w:t xml:space="preserve"> </w:t>
            </w:r>
            <w:r w:rsidR="00CC6B5B" w:rsidRPr="00E86669">
              <w:rPr>
                <w:sz w:val="22"/>
                <w:szCs w:val="22"/>
              </w:rPr>
              <w:t xml:space="preserve">In both cases, </w:t>
            </w:r>
            <w:r w:rsidR="00A406CA" w:rsidRPr="00E86669">
              <w:rPr>
                <w:sz w:val="22"/>
                <w:szCs w:val="22"/>
              </w:rPr>
              <w:t>“self-limiting insects”</w:t>
            </w:r>
            <w:r w:rsidR="00CC6B5B" w:rsidRPr="00E86669">
              <w:rPr>
                <w:sz w:val="22"/>
                <w:szCs w:val="22"/>
              </w:rPr>
              <w:t xml:space="preserve"> are being addressed</w:t>
            </w:r>
            <w:r w:rsidR="00713C0B" w:rsidRPr="00E86669">
              <w:rPr>
                <w:sz w:val="22"/>
                <w:szCs w:val="22"/>
              </w:rPr>
              <w:t>. Also note that the Oxitec cases mentioned above rely on the fsRIDL technique, so perhaps some alignment is needed to ensure consistency in wording used between both headings</w:t>
            </w:r>
            <w:r w:rsidR="002E505F" w:rsidRPr="00E86669">
              <w:rPr>
                <w:sz w:val="22"/>
                <w:szCs w:val="22"/>
              </w:rPr>
              <w:t>.</w:t>
            </w:r>
          </w:p>
          <w:p w14:paraId="528AC9D3" w14:textId="2630D62E" w:rsidR="002E505F" w:rsidRPr="00E86669" w:rsidRDefault="002E505F" w:rsidP="008955AC">
            <w:pPr>
              <w:rPr>
                <w:sz w:val="22"/>
                <w:szCs w:val="22"/>
              </w:rPr>
            </w:pPr>
          </w:p>
          <w:p w14:paraId="3C686C46" w14:textId="77777777" w:rsidR="008955AC" w:rsidRPr="00E86669" w:rsidRDefault="002E505F" w:rsidP="00EC618F">
            <w:pPr>
              <w:rPr>
                <w:sz w:val="22"/>
                <w:szCs w:val="22"/>
              </w:rPr>
            </w:pPr>
            <w:r w:rsidRPr="00E86669">
              <w:rPr>
                <w:sz w:val="22"/>
                <w:szCs w:val="22"/>
              </w:rPr>
              <w:t xml:space="preserve">The heading </w:t>
            </w:r>
            <w:r w:rsidR="00EC618F" w:rsidRPr="00E86669">
              <w:rPr>
                <w:sz w:val="22"/>
                <w:szCs w:val="22"/>
              </w:rPr>
              <w:t>“</w:t>
            </w:r>
            <w:r w:rsidRPr="00E86669">
              <w:rPr>
                <w:sz w:val="22"/>
                <w:szCs w:val="22"/>
              </w:rPr>
              <w:t>Genetically engineered bio-containment systems in mosquitoes</w:t>
            </w:r>
            <w:r w:rsidR="00EC618F" w:rsidRPr="00E86669">
              <w:rPr>
                <w:sz w:val="22"/>
                <w:szCs w:val="22"/>
              </w:rPr>
              <w:t>”</w:t>
            </w:r>
            <w:r w:rsidRPr="00E86669">
              <w:rPr>
                <w:sz w:val="22"/>
                <w:szCs w:val="22"/>
              </w:rPr>
              <w:t xml:space="preserve"> </w:t>
            </w:r>
            <w:r w:rsidR="00F5133A" w:rsidRPr="00E86669">
              <w:rPr>
                <w:sz w:val="22"/>
                <w:szCs w:val="22"/>
              </w:rPr>
              <w:t xml:space="preserve">is a bit confusing, as </w:t>
            </w:r>
            <w:r w:rsidR="00564B4C" w:rsidRPr="00E86669">
              <w:rPr>
                <w:sz w:val="22"/>
                <w:szCs w:val="22"/>
              </w:rPr>
              <w:t>self-limiting/localised engineered gene drive systems are under development in insects, including mosquitoes, which would fit under this category too</w:t>
            </w:r>
            <w:r w:rsidR="006107DE" w:rsidRPr="00E86669">
              <w:rPr>
                <w:sz w:val="22"/>
                <w:szCs w:val="22"/>
              </w:rPr>
              <w:t>.</w:t>
            </w:r>
          </w:p>
          <w:p w14:paraId="00D8EAE7" w14:textId="77777777" w:rsidR="006107DE" w:rsidRPr="00E86669" w:rsidRDefault="006107DE" w:rsidP="00EC618F">
            <w:pPr>
              <w:rPr>
                <w:sz w:val="22"/>
                <w:szCs w:val="22"/>
              </w:rPr>
            </w:pPr>
          </w:p>
          <w:p w14:paraId="147EC3D5" w14:textId="45B1B412" w:rsidR="006107DE" w:rsidRPr="00E86669" w:rsidRDefault="006107DE" w:rsidP="00AC1504">
            <w:pPr>
              <w:rPr>
                <w:sz w:val="22"/>
                <w:szCs w:val="22"/>
              </w:rPr>
            </w:pPr>
            <w:r w:rsidRPr="00E86669">
              <w:rPr>
                <w:sz w:val="22"/>
                <w:szCs w:val="22"/>
              </w:rPr>
              <w:t>CRISP</w:t>
            </w:r>
            <w:r w:rsidR="002271D9" w:rsidRPr="00E86669">
              <w:rPr>
                <w:sz w:val="22"/>
                <w:szCs w:val="22"/>
              </w:rPr>
              <w:t>R</w:t>
            </w:r>
            <w:r w:rsidR="001A59C5" w:rsidRPr="00E86669">
              <w:rPr>
                <w:sz w:val="22"/>
                <w:szCs w:val="22"/>
              </w:rPr>
              <w:t xml:space="preserve"> systems </w:t>
            </w:r>
            <w:r w:rsidR="0040205B" w:rsidRPr="00E86669">
              <w:rPr>
                <w:sz w:val="22"/>
                <w:szCs w:val="22"/>
              </w:rPr>
              <w:t xml:space="preserve"> for genome engineering </w:t>
            </w:r>
            <w:r w:rsidR="001A59C5" w:rsidRPr="00E86669">
              <w:rPr>
                <w:sz w:val="22"/>
                <w:szCs w:val="22"/>
              </w:rPr>
              <w:t xml:space="preserve">can </w:t>
            </w:r>
            <w:r w:rsidR="0040205B" w:rsidRPr="00E86669">
              <w:rPr>
                <w:sz w:val="22"/>
                <w:szCs w:val="22"/>
              </w:rPr>
              <w:t>also</w:t>
            </w:r>
            <w:r w:rsidR="001A59C5" w:rsidRPr="00E86669">
              <w:rPr>
                <w:sz w:val="22"/>
                <w:szCs w:val="22"/>
              </w:rPr>
              <w:t xml:space="preserve"> used</w:t>
            </w:r>
            <w:r w:rsidR="0040205B" w:rsidRPr="00E86669">
              <w:rPr>
                <w:sz w:val="22"/>
                <w:szCs w:val="22"/>
              </w:rPr>
              <w:t xml:space="preserve"> to </w:t>
            </w:r>
            <w:r w:rsidR="00F75F68" w:rsidRPr="00E86669">
              <w:rPr>
                <w:sz w:val="22"/>
                <w:szCs w:val="22"/>
              </w:rPr>
              <w:t xml:space="preserve">develop </w:t>
            </w:r>
            <w:r w:rsidR="0040205B" w:rsidRPr="00E86669">
              <w:rPr>
                <w:sz w:val="22"/>
                <w:szCs w:val="22"/>
              </w:rPr>
              <w:t xml:space="preserve">GM insect </w:t>
            </w:r>
            <w:r w:rsidR="00AC1504">
              <w:rPr>
                <w:sz w:val="22"/>
                <w:szCs w:val="22"/>
              </w:rPr>
              <w:t>without</w:t>
            </w:r>
            <w:r w:rsidR="00AC1504" w:rsidRPr="00E86669">
              <w:rPr>
                <w:sz w:val="22"/>
                <w:szCs w:val="22"/>
              </w:rPr>
              <w:t xml:space="preserve"> </w:t>
            </w:r>
            <w:r w:rsidR="001A59C5" w:rsidRPr="00E86669">
              <w:rPr>
                <w:sz w:val="22"/>
                <w:szCs w:val="22"/>
              </w:rPr>
              <w:t>engineered gene drive</w:t>
            </w:r>
            <w:r w:rsidR="00F75F68" w:rsidRPr="00E86669">
              <w:rPr>
                <w:sz w:val="22"/>
                <w:szCs w:val="22"/>
              </w:rPr>
              <w:t>(s)</w:t>
            </w:r>
            <w:r w:rsidR="001A59C5" w:rsidRPr="00E86669">
              <w:rPr>
                <w:sz w:val="22"/>
                <w:szCs w:val="22"/>
              </w:rPr>
              <w:t xml:space="preserve">. Perhaps this point should be made </w:t>
            </w:r>
            <w:r w:rsidR="00456BB0" w:rsidRPr="00E86669">
              <w:rPr>
                <w:sz w:val="22"/>
                <w:szCs w:val="22"/>
              </w:rPr>
              <w:t xml:space="preserve">more explicitly </w:t>
            </w:r>
            <w:r w:rsidR="00516A71" w:rsidRPr="00E86669">
              <w:rPr>
                <w:sz w:val="22"/>
                <w:szCs w:val="22"/>
              </w:rPr>
              <w:t>throughout</w:t>
            </w:r>
            <w:r w:rsidR="00456BB0" w:rsidRPr="00E86669">
              <w:rPr>
                <w:sz w:val="22"/>
                <w:szCs w:val="22"/>
              </w:rPr>
              <w:t xml:space="preserve"> the report</w:t>
            </w:r>
          </w:p>
        </w:tc>
      </w:tr>
      <w:tr w:rsidR="008955AC" w:rsidRPr="00E86669" w14:paraId="6CAE32E9" w14:textId="77777777" w:rsidTr="00307697">
        <w:trPr>
          <w:cantSplit/>
          <w:trHeight w:val="233"/>
        </w:trPr>
        <w:tc>
          <w:tcPr>
            <w:tcW w:w="908" w:type="dxa"/>
          </w:tcPr>
          <w:p w14:paraId="6363BCA8" w14:textId="5226B28A" w:rsidR="008955AC" w:rsidRPr="00E86669" w:rsidRDefault="00654324" w:rsidP="008955AC">
            <w:pPr>
              <w:rPr>
                <w:sz w:val="22"/>
                <w:szCs w:val="22"/>
              </w:rPr>
            </w:pPr>
            <w:r w:rsidRPr="00E86669">
              <w:rPr>
                <w:sz w:val="22"/>
                <w:szCs w:val="22"/>
              </w:rPr>
              <w:t>38</w:t>
            </w:r>
          </w:p>
        </w:tc>
        <w:tc>
          <w:tcPr>
            <w:tcW w:w="1255" w:type="dxa"/>
          </w:tcPr>
          <w:p w14:paraId="04496CF3" w14:textId="38A1FA02" w:rsidR="008955AC" w:rsidRPr="00E86669" w:rsidRDefault="0032555F" w:rsidP="008955AC">
            <w:pPr>
              <w:rPr>
                <w:sz w:val="22"/>
                <w:szCs w:val="22"/>
              </w:rPr>
            </w:pPr>
            <w:r w:rsidRPr="00E86669">
              <w:rPr>
                <w:sz w:val="22"/>
                <w:szCs w:val="22"/>
              </w:rPr>
              <w:t>21</w:t>
            </w:r>
          </w:p>
        </w:tc>
        <w:tc>
          <w:tcPr>
            <w:tcW w:w="8025" w:type="dxa"/>
            <w:gridSpan w:val="2"/>
          </w:tcPr>
          <w:p w14:paraId="7C348462" w14:textId="77777777" w:rsidR="00BC56EE" w:rsidRPr="00E86669" w:rsidRDefault="0032555F" w:rsidP="00BC56EE">
            <w:pPr>
              <w:rPr>
                <w:sz w:val="22"/>
                <w:szCs w:val="22"/>
              </w:rPr>
            </w:pPr>
            <w:r w:rsidRPr="00E86669">
              <w:rPr>
                <w:sz w:val="22"/>
                <w:szCs w:val="22"/>
              </w:rPr>
              <w:t>For engineered gene drive applications in insects, perhaps more emphasis should be put on the new modes of action</w:t>
            </w:r>
            <w:r w:rsidR="000124D0" w:rsidRPr="00E86669">
              <w:rPr>
                <w:sz w:val="22"/>
                <w:szCs w:val="22"/>
              </w:rPr>
              <w:t xml:space="preserve"> and underlying strategies that are currently proposed</w:t>
            </w:r>
            <w:r w:rsidR="009819E1" w:rsidRPr="00E86669">
              <w:rPr>
                <w:sz w:val="22"/>
                <w:szCs w:val="22"/>
              </w:rPr>
              <w:t xml:space="preserve"> and reported in the scientific literature</w:t>
            </w:r>
            <w:r w:rsidR="000124D0" w:rsidRPr="00E86669">
              <w:rPr>
                <w:sz w:val="22"/>
                <w:szCs w:val="22"/>
              </w:rPr>
              <w:t>.</w:t>
            </w:r>
          </w:p>
          <w:p w14:paraId="5884B4C1" w14:textId="77777777" w:rsidR="00BC56EE" w:rsidRPr="00E86669" w:rsidRDefault="00BC56EE" w:rsidP="00BC56EE">
            <w:pPr>
              <w:rPr>
                <w:sz w:val="22"/>
                <w:szCs w:val="22"/>
              </w:rPr>
            </w:pPr>
          </w:p>
          <w:p w14:paraId="7F7FBEC6" w14:textId="77777777" w:rsidR="00EA0C57" w:rsidRPr="00E86669" w:rsidRDefault="009819E1" w:rsidP="00BC56EE">
            <w:pPr>
              <w:rPr>
                <w:sz w:val="22"/>
                <w:szCs w:val="22"/>
              </w:rPr>
            </w:pPr>
            <w:r w:rsidRPr="00E86669">
              <w:rPr>
                <w:sz w:val="22"/>
                <w:szCs w:val="22"/>
              </w:rPr>
              <w:t xml:space="preserve">In this respect, </w:t>
            </w:r>
            <w:r w:rsidR="000B68F1" w:rsidRPr="00E86669">
              <w:rPr>
                <w:sz w:val="22"/>
                <w:szCs w:val="22"/>
              </w:rPr>
              <w:t>it would be important to mention that recent research efforts aim to develop engineered gene drives that are confinable (i.e. limited in their spread and persistence) and reversible (i.e. recallable from the environment in the event of unwanted consequences).</w:t>
            </w:r>
            <w:r w:rsidR="0097225C" w:rsidRPr="00E86669">
              <w:rPr>
                <w:sz w:val="22"/>
                <w:szCs w:val="22"/>
              </w:rPr>
              <w:t xml:space="preserve"> Several approaches have been proposed to restrict </w:t>
            </w:r>
            <w:r w:rsidR="0097225C" w:rsidRPr="00E86669">
              <w:rPr>
                <w:rFonts w:eastAsia="Tahoma"/>
                <w:sz w:val="22"/>
                <w:szCs w:val="22"/>
              </w:rPr>
              <w:t xml:space="preserve">the spread of engineered </w:t>
            </w:r>
            <w:r w:rsidR="0097225C" w:rsidRPr="00E86669">
              <w:rPr>
                <w:sz w:val="22"/>
                <w:szCs w:val="22"/>
              </w:rPr>
              <w:t>gene drives</w:t>
            </w:r>
            <w:r w:rsidR="0097225C" w:rsidRPr="00E86669">
              <w:rPr>
                <w:rFonts w:eastAsia="Tahoma"/>
                <w:sz w:val="22"/>
                <w:szCs w:val="22"/>
              </w:rPr>
              <w:t xml:space="preserve"> within a specified target population or geographic region, or to reduce their persistence in target populations over the course of several generation. </w:t>
            </w:r>
            <w:r w:rsidR="0097225C" w:rsidRPr="00E86669">
              <w:rPr>
                <w:sz w:val="22"/>
                <w:szCs w:val="22"/>
              </w:rPr>
              <w:t xml:space="preserve">Likewise, </w:t>
            </w:r>
            <w:r w:rsidR="00BC56EE" w:rsidRPr="00E86669">
              <w:rPr>
                <w:sz w:val="22"/>
                <w:szCs w:val="22"/>
              </w:rPr>
              <w:t>r</w:t>
            </w:r>
            <w:r w:rsidR="0097225C" w:rsidRPr="00E86669">
              <w:rPr>
                <w:sz w:val="22"/>
                <w:szCs w:val="22"/>
              </w:rPr>
              <w:t xml:space="preserve">eversal </w:t>
            </w:r>
            <w:r w:rsidR="00BC56EE" w:rsidRPr="00E86669">
              <w:rPr>
                <w:sz w:val="22"/>
                <w:szCs w:val="22"/>
              </w:rPr>
              <w:t>gene drive</w:t>
            </w:r>
            <w:r w:rsidR="0097225C" w:rsidRPr="00E86669">
              <w:rPr>
                <w:sz w:val="22"/>
                <w:szCs w:val="22"/>
              </w:rPr>
              <w:t xml:space="preserve"> have been proposed as genetic remediation or neutralising systems that could disable or reverse the effects of a previously released </w:t>
            </w:r>
            <w:r w:rsidR="00BC56EE" w:rsidRPr="00E86669">
              <w:rPr>
                <w:sz w:val="22"/>
                <w:szCs w:val="22"/>
              </w:rPr>
              <w:t>gene drive modified organisms</w:t>
            </w:r>
            <w:r w:rsidR="0097225C" w:rsidRPr="00E86669">
              <w:rPr>
                <w:sz w:val="22"/>
                <w:szCs w:val="22"/>
              </w:rPr>
              <w:t xml:space="preserve"> in the event of unintended consequences. </w:t>
            </w:r>
            <w:r w:rsidR="00BC56EE" w:rsidRPr="00E86669">
              <w:rPr>
                <w:sz w:val="22"/>
                <w:szCs w:val="22"/>
              </w:rPr>
              <w:t>Perhaps these developments could be mentioned in the report</w:t>
            </w:r>
            <w:r w:rsidR="00EA0C57" w:rsidRPr="00E86669">
              <w:rPr>
                <w:sz w:val="22"/>
                <w:szCs w:val="22"/>
              </w:rPr>
              <w:t>.</w:t>
            </w:r>
          </w:p>
          <w:p w14:paraId="78A19711" w14:textId="77777777" w:rsidR="00EA0C57" w:rsidRPr="00E86669" w:rsidRDefault="00EA0C57" w:rsidP="00BC56EE">
            <w:pPr>
              <w:rPr>
                <w:sz w:val="22"/>
                <w:szCs w:val="22"/>
              </w:rPr>
            </w:pPr>
          </w:p>
          <w:p w14:paraId="0FE559AE" w14:textId="5F4B566F" w:rsidR="00EA0C57" w:rsidRPr="00E86669" w:rsidRDefault="00EA0C57" w:rsidP="00BC56EE">
            <w:pPr>
              <w:rPr>
                <w:sz w:val="22"/>
                <w:szCs w:val="22"/>
              </w:rPr>
            </w:pPr>
            <w:r w:rsidRPr="00E86669">
              <w:rPr>
                <w:sz w:val="22"/>
                <w:szCs w:val="22"/>
              </w:rPr>
              <w:t xml:space="preserve">Moreover, </w:t>
            </w:r>
            <w:r w:rsidR="00125347" w:rsidRPr="00E86669">
              <w:rPr>
                <w:sz w:val="22"/>
                <w:szCs w:val="22"/>
              </w:rPr>
              <w:t>it may be helpful to indicate that c</w:t>
            </w:r>
            <w:r w:rsidRPr="00E86669">
              <w:rPr>
                <w:rFonts w:eastAsia="Tahoma"/>
                <w:sz w:val="22"/>
                <w:szCs w:val="22"/>
              </w:rPr>
              <w:t xml:space="preserve">urrent research efforts </w:t>
            </w:r>
            <w:r w:rsidR="00125347" w:rsidRPr="00E86669">
              <w:rPr>
                <w:rFonts w:eastAsia="Tahoma"/>
                <w:sz w:val="22"/>
                <w:szCs w:val="22"/>
              </w:rPr>
              <w:t xml:space="preserve">also </w:t>
            </w:r>
            <w:r w:rsidRPr="00E86669">
              <w:rPr>
                <w:rFonts w:eastAsia="Tahoma"/>
                <w:sz w:val="22"/>
                <w:szCs w:val="22"/>
              </w:rPr>
              <w:t xml:space="preserve">focus on the </w:t>
            </w:r>
            <w:r w:rsidRPr="00E86669">
              <w:rPr>
                <w:sz w:val="22"/>
                <w:szCs w:val="22"/>
              </w:rPr>
              <w:t xml:space="preserve">development of engineered </w:t>
            </w:r>
            <w:r w:rsidR="00125347" w:rsidRPr="00E86669">
              <w:rPr>
                <w:sz w:val="22"/>
                <w:szCs w:val="22"/>
              </w:rPr>
              <w:t>gene drives</w:t>
            </w:r>
            <w:r w:rsidRPr="00E86669">
              <w:rPr>
                <w:sz w:val="22"/>
                <w:szCs w:val="22"/>
              </w:rPr>
              <w:t xml:space="preserve"> that are specific, stable and avoid or delay the evolution of resistance against them</w:t>
            </w:r>
          </w:p>
        </w:tc>
      </w:tr>
      <w:tr w:rsidR="00EB6F43" w:rsidRPr="00E86669" w14:paraId="59CB05E6" w14:textId="77777777" w:rsidTr="00307697">
        <w:trPr>
          <w:cantSplit/>
          <w:trHeight w:val="233"/>
        </w:trPr>
        <w:tc>
          <w:tcPr>
            <w:tcW w:w="908" w:type="dxa"/>
          </w:tcPr>
          <w:p w14:paraId="3049F55B" w14:textId="210B1B9D" w:rsidR="00EB6F43" w:rsidRPr="00E86669" w:rsidRDefault="00EB6F43" w:rsidP="008955AC">
            <w:pPr>
              <w:rPr>
                <w:sz w:val="22"/>
                <w:szCs w:val="22"/>
              </w:rPr>
            </w:pPr>
            <w:r w:rsidRPr="00E86669">
              <w:rPr>
                <w:sz w:val="22"/>
                <w:szCs w:val="22"/>
              </w:rPr>
              <w:t>41</w:t>
            </w:r>
          </w:p>
        </w:tc>
        <w:tc>
          <w:tcPr>
            <w:tcW w:w="1255" w:type="dxa"/>
          </w:tcPr>
          <w:p w14:paraId="20568265" w14:textId="443A941F" w:rsidR="00EB6F43" w:rsidRPr="00E86669" w:rsidRDefault="0097088E" w:rsidP="008955AC">
            <w:pPr>
              <w:rPr>
                <w:sz w:val="22"/>
                <w:szCs w:val="22"/>
              </w:rPr>
            </w:pPr>
            <w:r w:rsidRPr="00E86669">
              <w:rPr>
                <w:sz w:val="22"/>
                <w:szCs w:val="22"/>
              </w:rPr>
              <w:t>11-12</w:t>
            </w:r>
          </w:p>
        </w:tc>
        <w:tc>
          <w:tcPr>
            <w:tcW w:w="8025" w:type="dxa"/>
            <w:gridSpan w:val="2"/>
          </w:tcPr>
          <w:p w14:paraId="2F972AFA" w14:textId="7CCE2156" w:rsidR="0097088E" w:rsidRPr="00E86669" w:rsidRDefault="0097088E" w:rsidP="0097088E">
            <w:pPr>
              <w:rPr>
                <w:sz w:val="22"/>
                <w:szCs w:val="22"/>
              </w:rPr>
            </w:pPr>
            <w:r w:rsidRPr="00E86669">
              <w:rPr>
                <w:sz w:val="22"/>
                <w:szCs w:val="22"/>
              </w:rPr>
              <w:t xml:space="preserve">There is substantial </w:t>
            </w:r>
            <w:r w:rsidR="00606FCE" w:rsidRPr="00E86669">
              <w:rPr>
                <w:sz w:val="22"/>
                <w:szCs w:val="22"/>
              </w:rPr>
              <w:t xml:space="preserve">overlap of </w:t>
            </w:r>
            <w:r w:rsidRPr="00E86669">
              <w:rPr>
                <w:sz w:val="22"/>
                <w:szCs w:val="22"/>
              </w:rPr>
              <w:t>information reported in section 4 “Applications of Synthetic Biology and Their Potential Impacts</w:t>
            </w:r>
            <w:r w:rsidR="00581D75" w:rsidRPr="00E86669">
              <w:rPr>
                <w:sz w:val="22"/>
                <w:szCs w:val="22"/>
              </w:rPr>
              <w:t xml:space="preserve"> </w:t>
            </w:r>
            <w:r w:rsidRPr="00E86669">
              <w:rPr>
                <w:sz w:val="22"/>
                <w:szCs w:val="22"/>
              </w:rPr>
              <w:t>on the Conservation</w:t>
            </w:r>
            <w:r w:rsidR="00581D75" w:rsidRPr="00E86669">
              <w:rPr>
                <w:sz w:val="22"/>
                <w:szCs w:val="22"/>
              </w:rPr>
              <w:t xml:space="preserve"> </w:t>
            </w:r>
            <w:r w:rsidRPr="00E86669">
              <w:rPr>
                <w:sz w:val="22"/>
                <w:szCs w:val="22"/>
              </w:rPr>
              <w:t xml:space="preserve">and Sustainable 11 Use of Biological Diversity” and </w:t>
            </w:r>
            <w:r w:rsidR="00ED6F12" w:rsidRPr="00E86669">
              <w:rPr>
                <w:sz w:val="22"/>
                <w:szCs w:val="22"/>
              </w:rPr>
              <w:t xml:space="preserve">the </w:t>
            </w:r>
            <w:r w:rsidRPr="00E86669">
              <w:rPr>
                <w:sz w:val="22"/>
                <w:szCs w:val="22"/>
              </w:rPr>
              <w:t>previous section</w:t>
            </w:r>
            <w:r w:rsidR="00ED6F12" w:rsidRPr="00E86669">
              <w:rPr>
                <w:sz w:val="22"/>
                <w:szCs w:val="22"/>
              </w:rPr>
              <w:t xml:space="preserve"> of the report</w:t>
            </w:r>
            <w:r w:rsidRPr="00E86669">
              <w:rPr>
                <w:sz w:val="22"/>
                <w:szCs w:val="22"/>
              </w:rPr>
              <w:t xml:space="preserve">. </w:t>
            </w:r>
            <w:r w:rsidR="008B061A" w:rsidRPr="00E86669">
              <w:rPr>
                <w:sz w:val="22"/>
                <w:szCs w:val="22"/>
              </w:rPr>
              <w:t xml:space="preserve">To avoid unnecessary duplications, perhaps </w:t>
            </w:r>
            <w:r w:rsidR="00AA5749" w:rsidRPr="00E86669">
              <w:rPr>
                <w:sz w:val="22"/>
                <w:szCs w:val="22"/>
              </w:rPr>
              <w:t xml:space="preserve">the intended </w:t>
            </w:r>
            <w:r w:rsidR="004158B1" w:rsidRPr="00E86669">
              <w:rPr>
                <w:sz w:val="22"/>
                <w:szCs w:val="22"/>
              </w:rPr>
              <w:t>impacts</w:t>
            </w:r>
            <w:r w:rsidR="0007762A" w:rsidRPr="00E86669">
              <w:rPr>
                <w:sz w:val="22"/>
                <w:szCs w:val="22"/>
              </w:rPr>
              <w:t xml:space="preserve"> on ‘wild’ target populations</w:t>
            </w:r>
            <w:r w:rsidR="00AA5749" w:rsidRPr="00E86669">
              <w:rPr>
                <w:sz w:val="22"/>
                <w:szCs w:val="22"/>
              </w:rPr>
              <w:t xml:space="preserve"> of potential SynBio applications</w:t>
            </w:r>
            <w:r w:rsidR="00241263" w:rsidRPr="00E86669">
              <w:rPr>
                <w:sz w:val="22"/>
                <w:szCs w:val="22"/>
              </w:rPr>
              <w:t xml:space="preserve"> (and thus their intended outcomes)</w:t>
            </w:r>
            <w:r w:rsidR="00AA5749" w:rsidRPr="00E86669">
              <w:rPr>
                <w:sz w:val="22"/>
                <w:szCs w:val="22"/>
              </w:rPr>
              <w:t xml:space="preserve"> </w:t>
            </w:r>
            <w:r w:rsidR="00241263" w:rsidRPr="00E86669">
              <w:rPr>
                <w:sz w:val="22"/>
                <w:szCs w:val="22"/>
              </w:rPr>
              <w:t>c</w:t>
            </w:r>
            <w:r w:rsidR="00AA5749" w:rsidRPr="00E86669">
              <w:rPr>
                <w:sz w:val="22"/>
                <w:szCs w:val="22"/>
              </w:rPr>
              <w:t>ould be merged</w:t>
            </w:r>
            <w:r w:rsidR="00241263" w:rsidRPr="00E86669">
              <w:rPr>
                <w:sz w:val="22"/>
                <w:szCs w:val="22"/>
              </w:rPr>
              <w:t xml:space="preserve"> and addressed in the section C instead of section D</w:t>
            </w:r>
            <w:r w:rsidR="00505178" w:rsidRPr="00E86669">
              <w:rPr>
                <w:sz w:val="22"/>
                <w:szCs w:val="22"/>
              </w:rPr>
              <w:t xml:space="preserve">. For example, the types of engineered gene drives should be </w:t>
            </w:r>
            <w:r w:rsidR="00B2203A" w:rsidRPr="00E86669">
              <w:rPr>
                <w:sz w:val="22"/>
                <w:szCs w:val="22"/>
              </w:rPr>
              <w:t>described in section C instead of section D</w:t>
            </w:r>
            <w:r w:rsidR="00E861DE">
              <w:rPr>
                <w:sz w:val="22"/>
                <w:szCs w:val="22"/>
              </w:rPr>
              <w:t>.</w:t>
            </w:r>
          </w:p>
          <w:p w14:paraId="3E56193A" w14:textId="77777777" w:rsidR="00F150E0" w:rsidRPr="00E86669" w:rsidRDefault="00F150E0" w:rsidP="0097088E">
            <w:pPr>
              <w:rPr>
                <w:sz w:val="22"/>
                <w:szCs w:val="22"/>
              </w:rPr>
            </w:pPr>
          </w:p>
          <w:p w14:paraId="3950C2D0" w14:textId="518E3A50" w:rsidR="00175386" w:rsidRDefault="00F150E0" w:rsidP="0097088E">
            <w:pPr>
              <w:rPr>
                <w:sz w:val="22"/>
                <w:szCs w:val="22"/>
              </w:rPr>
            </w:pPr>
            <w:r w:rsidRPr="00E86669">
              <w:rPr>
                <w:sz w:val="22"/>
                <w:szCs w:val="22"/>
              </w:rPr>
              <w:lastRenderedPageBreak/>
              <w:t xml:space="preserve">The potential impacts/risk concerns </w:t>
            </w:r>
            <w:r w:rsidR="000417F0" w:rsidRPr="00E86669">
              <w:rPr>
                <w:sz w:val="22"/>
                <w:szCs w:val="22"/>
              </w:rPr>
              <w:t xml:space="preserve">are </w:t>
            </w:r>
            <w:r w:rsidRPr="00E86669">
              <w:rPr>
                <w:sz w:val="22"/>
                <w:szCs w:val="22"/>
              </w:rPr>
              <w:t>addressed in a</w:t>
            </w:r>
            <w:r w:rsidR="003859EB">
              <w:rPr>
                <w:sz w:val="22"/>
                <w:szCs w:val="22"/>
              </w:rPr>
              <w:t xml:space="preserve"> narrative </w:t>
            </w:r>
            <w:r w:rsidR="00557EEF">
              <w:rPr>
                <w:sz w:val="22"/>
                <w:szCs w:val="22"/>
              </w:rPr>
              <w:t>and non-</w:t>
            </w:r>
            <w:r w:rsidR="000417F0" w:rsidRPr="00E86669">
              <w:rPr>
                <w:sz w:val="22"/>
                <w:szCs w:val="22"/>
              </w:rPr>
              <w:t>systematic manner</w:t>
            </w:r>
            <w:r w:rsidR="005D254E">
              <w:rPr>
                <w:sz w:val="22"/>
                <w:szCs w:val="22"/>
              </w:rPr>
              <w:t>, and tend to be generalisations</w:t>
            </w:r>
            <w:r w:rsidR="003859EB">
              <w:rPr>
                <w:sz w:val="22"/>
                <w:szCs w:val="22"/>
              </w:rPr>
              <w:t>.</w:t>
            </w:r>
            <w:r w:rsidR="00175386">
              <w:rPr>
                <w:sz w:val="22"/>
                <w:szCs w:val="22"/>
              </w:rPr>
              <w:t xml:space="preserve"> </w:t>
            </w:r>
            <w:r w:rsidR="00FE5CBD">
              <w:rPr>
                <w:sz w:val="22"/>
                <w:szCs w:val="22"/>
              </w:rPr>
              <w:t>Moreover</w:t>
            </w:r>
            <w:r w:rsidR="00313EC0">
              <w:rPr>
                <w:sz w:val="22"/>
                <w:szCs w:val="22"/>
              </w:rPr>
              <w:t xml:space="preserve">, risk concerns are </w:t>
            </w:r>
            <w:r w:rsidR="00490797">
              <w:rPr>
                <w:sz w:val="22"/>
                <w:szCs w:val="22"/>
              </w:rPr>
              <w:t xml:space="preserve">addressed as plain text without subheadings. For </w:t>
            </w:r>
            <w:r w:rsidR="00175386">
              <w:rPr>
                <w:sz w:val="22"/>
                <w:szCs w:val="22"/>
              </w:rPr>
              <w:t>clarity</w:t>
            </w:r>
            <w:r w:rsidR="001133E9">
              <w:rPr>
                <w:sz w:val="22"/>
                <w:szCs w:val="22"/>
              </w:rPr>
              <w:t xml:space="preserve"> and readability purposes</w:t>
            </w:r>
            <w:r w:rsidR="00175386">
              <w:rPr>
                <w:sz w:val="22"/>
                <w:szCs w:val="22"/>
              </w:rPr>
              <w:t>,</w:t>
            </w:r>
            <w:r w:rsidR="00313EC0">
              <w:rPr>
                <w:sz w:val="22"/>
                <w:szCs w:val="22"/>
              </w:rPr>
              <w:t xml:space="preserve"> perhaps</w:t>
            </w:r>
            <w:r w:rsidR="00175386">
              <w:rPr>
                <w:sz w:val="22"/>
                <w:szCs w:val="22"/>
              </w:rPr>
              <w:t xml:space="preserve"> i</w:t>
            </w:r>
            <w:r w:rsidR="00DF6BBE">
              <w:rPr>
                <w:sz w:val="22"/>
                <w:szCs w:val="22"/>
              </w:rPr>
              <w:t xml:space="preserve">t may be helpful to </w:t>
            </w:r>
            <w:r w:rsidR="00C07A58">
              <w:rPr>
                <w:sz w:val="22"/>
                <w:szCs w:val="22"/>
              </w:rPr>
              <w:t>introduce</w:t>
            </w:r>
            <w:r w:rsidR="00DF6BBE">
              <w:rPr>
                <w:sz w:val="22"/>
                <w:szCs w:val="22"/>
              </w:rPr>
              <w:t xml:space="preserve"> subheading</w:t>
            </w:r>
            <w:r w:rsidR="00CD3A47">
              <w:rPr>
                <w:sz w:val="22"/>
                <w:szCs w:val="22"/>
              </w:rPr>
              <w:t xml:space="preserve">s </w:t>
            </w:r>
            <w:r w:rsidR="00C07A58">
              <w:rPr>
                <w:sz w:val="22"/>
                <w:szCs w:val="22"/>
              </w:rPr>
              <w:t xml:space="preserve">for relevant groups of risk concerns. </w:t>
            </w:r>
            <w:r w:rsidR="00313EC0">
              <w:rPr>
                <w:sz w:val="22"/>
                <w:szCs w:val="22"/>
              </w:rPr>
              <w:t>For each of the</w:t>
            </w:r>
            <w:r w:rsidR="00554364">
              <w:rPr>
                <w:sz w:val="22"/>
                <w:szCs w:val="22"/>
              </w:rPr>
              <w:t xml:space="preserve">se risk concerns perhaps it could be specified whether </w:t>
            </w:r>
            <w:r w:rsidR="005D3FB7">
              <w:rPr>
                <w:sz w:val="22"/>
                <w:szCs w:val="22"/>
              </w:rPr>
              <w:t xml:space="preserve">the </w:t>
            </w:r>
            <w:r w:rsidR="00A23492">
              <w:rPr>
                <w:sz w:val="22"/>
                <w:szCs w:val="22"/>
              </w:rPr>
              <w:t>risk concerns</w:t>
            </w:r>
            <w:r w:rsidR="00554364">
              <w:rPr>
                <w:sz w:val="22"/>
                <w:szCs w:val="22"/>
              </w:rPr>
              <w:t xml:space="preserve"> </w:t>
            </w:r>
            <w:r w:rsidR="005D3FB7">
              <w:rPr>
                <w:sz w:val="22"/>
                <w:szCs w:val="22"/>
              </w:rPr>
              <w:t xml:space="preserve">identified </w:t>
            </w:r>
            <w:r w:rsidR="00554364">
              <w:rPr>
                <w:sz w:val="22"/>
                <w:szCs w:val="22"/>
              </w:rPr>
              <w:t>are plausible or not</w:t>
            </w:r>
            <w:r w:rsidR="00C46291">
              <w:rPr>
                <w:sz w:val="22"/>
                <w:szCs w:val="22"/>
              </w:rPr>
              <w:t>, consequential in terms of harm to human and animal health and the environment</w:t>
            </w:r>
            <w:r w:rsidR="005D3FB7">
              <w:rPr>
                <w:sz w:val="22"/>
                <w:szCs w:val="22"/>
              </w:rPr>
              <w:t>, and specific to the case under assessment</w:t>
            </w:r>
            <w:r w:rsidR="00836B19">
              <w:rPr>
                <w:sz w:val="22"/>
                <w:szCs w:val="22"/>
              </w:rPr>
              <w:t xml:space="preserve"> or not</w:t>
            </w:r>
            <w:r w:rsidR="00C46291">
              <w:rPr>
                <w:sz w:val="22"/>
                <w:szCs w:val="22"/>
              </w:rPr>
              <w:t xml:space="preserve">. </w:t>
            </w:r>
          </w:p>
          <w:p w14:paraId="60B6AB15" w14:textId="5ACE3505" w:rsidR="00D309F4" w:rsidRDefault="00D309F4" w:rsidP="0097088E">
            <w:pPr>
              <w:rPr>
                <w:sz w:val="22"/>
                <w:szCs w:val="22"/>
              </w:rPr>
            </w:pPr>
          </w:p>
          <w:p w14:paraId="33D4EC57" w14:textId="60F1E44F" w:rsidR="00D309F4" w:rsidRDefault="00D309F4" w:rsidP="0097088E">
            <w:pPr>
              <w:rPr>
                <w:sz w:val="22"/>
                <w:szCs w:val="22"/>
              </w:rPr>
            </w:pPr>
            <w:r>
              <w:rPr>
                <w:sz w:val="22"/>
                <w:szCs w:val="22"/>
              </w:rPr>
              <w:t>The lack of efficacy of an engineered gene drive could lead to harm</w:t>
            </w:r>
            <w:r w:rsidR="003E30A5">
              <w:rPr>
                <w:sz w:val="22"/>
                <w:szCs w:val="22"/>
              </w:rPr>
              <w:t>, and thus should be addressed explicitly in the report.</w:t>
            </w:r>
          </w:p>
          <w:p w14:paraId="6292CFB8" w14:textId="05F68B39" w:rsidR="00175386" w:rsidRDefault="00175386" w:rsidP="0097088E">
            <w:pPr>
              <w:rPr>
                <w:sz w:val="22"/>
                <w:szCs w:val="22"/>
              </w:rPr>
            </w:pPr>
          </w:p>
          <w:p w14:paraId="12802C20" w14:textId="03EF0BE3" w:rsidR="000C7296" w:rsidRPr="00E86669" w:rsidRDefault="000417F0" w:rsidP="0097088E">
            <w:pPr>
              <w:rPr>
                <w:sz w:val="22"/>
                <w:szCs w:val="22"/>
              </w:rPr>
            </w:pPr>
            <w:r w:rsidRPr="00E86669">
              <w:rPr>
                <w:sz w:val="22"/>
                <w:szCs w:val="22"/>
              </w:rPr>
              <w:t xml:space="preserve">Perhaps the authors of the report may wish to follow a more systematic approach </w:t>
            </w:r>
            <w:r w:rsidR="00BD3B35">
              <w:rPr>
                <w:sz w:val="22"/>
                <w:szCs w:val="22"/>
              </w:rPr>
              <w:t xml:space="preserve">for the identification of </w:t>
            </w:r>
            <w:r w:rsidRPr="00E86669">
              <w:rPr>
                <w:sz w:val="22"/>
                <w:szCs w:val="22"/>
              </w:rPr>
              <w:t xml:space="preserve">risk concerns and assess </w:t>
            </w:r>
            <w:r w:rsidR="00DC692F">
              <w:rPr>
                <w:sz w:val="22"/>
                <w:szCs w:val="22"/>
              </w:rPr>
              <w:t>whether they are</w:t>
            </w:r>
            <w:r w:rsidRPr="00E86669">
              <w:rPr>
                <w:sz w:val="22"/>
                <w:szCs w:val="22"/>
              </w:rPr>
              <w:t xml:space="preserve"> plausib</w:t>
            </w:r>
            <w:r w:rsidR="00DC692F">
              <w:rPr>
                <w:sz w:val="22"/>
                <w:szCs w:val="22"/>
              </w:rPr>
              <w:t xml:space="preserve">le and consequential. </w:t>
            </w:r>
            <w:r w:rsidR="009B259F">
              <w:rPr>
                <w:sz w:val="22"/>
                <w:szCs w:val="22"/>
              </w:rPr>
              <w:t xml:space="preserve">The pathway to potential harm approach could be followed for this purpose. </w:t>
            </w:r>
            <w:r w:rsidR="000C7296" w:rsidRPr="00E86669">
              <w:rPr>
                <w:sz w:val="22"/>
                <w:szCs w:val="22"/>
              </w:rPr>
              <w:t>See for example Connolly et al. (2021)</w:t>
            </w:r>
            <w:r w:rsidR="00421173" w:rsidRPr="00E86669">
              <w:rPr>
                <w:sz w:val="22"/>
                <w:szCs w:val="22"/>
              </w:rPr>
              <w:t>.</w:t>
            </w:r>
          </w:p>
          <w:p w14:paraId="04BAA23E" w14:textId="77777777" w:rsidR="000C7296" w:rsidRPr="00E86669" w:rsidRDefault="000C7296" w:rsidP="0097088E">
            <w:pPr>
              <w:rPr>
                <w:sz w:val="22"/>
                <w:szCs w:val="22"/>
              </w:rPr>
            </w:pPr>
          </w:p>
          <w:p w14:paraId="31D52A78" w14:textId="4E6F1DA8" w:rsidR="00F150E0" w:rsidRPr="00E86669" w:rsidRDefault="000C7296" w:rsidP="0097088E">
            <w:pPr>
              <w:rPr>
                <w:sz w:val="22"/>
                <w:szCs w:val="22"/>
              </w:rPr>
            </w:pPr>
            <w:r w:rsidRPr="00E86669">
              <w:rPr>
                <w:sz w:val="22"/>
                <w:szCs w:val="22"/>
              </w:rPr>
              <w:t xml:space="preserve">Connolly JB, Mumford JD, Fuchs S et al (2021) Systematic identification of plausible pathways to harm via problem formulation for investigational releases of a population suppression gene drive to control the human malaria vector </w:t>
            </w:r>
            <w:r w:rsidRPr="00E86669">
              <w:rPr>
                <w:i/>
                <w:iCs/>
                <w:sz w:val="22"/>
                <w:szCs w:val="22"/>
              </w:rPr>
              <w:t>Anopheles gambiae</w:t>
            </w:r>
            <w:r w:rsidRPr="00E86669">
              <w:rPr>
                <w:sz w:val="22"/>
                <w:szCs w:val="22"/>
              </w:rPr>
              <w:t xml:space="preserve"> in West Africa. Malar Journal, doi:10.1186/s12936-021-03674-6</w:t>
            </w:r>
          </w:p>
        </w:tc>
      </w:tr>
      <w:tr w:rsidR="008955AC" w:rsidRPr="00E86669" w14:paraId="7260005F" w14:textId="77777777" w:rsidTr="00307697">
        <w:trPr>
          <w:cantSplit/>
          <w:trHeight w:val="233"/>
        </w:trPr>
        <w:tc>
          <w:tcPr>
            <w:tcW w:w="908" w:type="dxa"/>
          </w:tcPr>
          <w:p w14:paraId="3C6465A5" w14:textId="4C25EF34" w:rsidR="008955AC" w:rsidRPr="00E86669" w:rsidRDefault="00FB376A" w:rsidP="008955AC">
            <w:pPr>
              <w:rPr>
                <w:sz w:val="22"/>
                <w:szCs w:val="22"/>
              </w:rPr>
            </w:pPr>
            <w:r w:rsidRPr="00E86669">
              <w:rPr>
                <w:sz w:val="22"/>
                <w:szCs w:val="22"/>
              </w:rPr>
              <w:lastRenderedPageBreak/>
              <w:t>41</w:t>
            </w:r>
          </w:p>
        </w:tc>
        <w:tc>
          <w:tcPr>
            <w:tcW w:w="1255" w:type="dxa"/>
          </w:tcPr>
          <w:p w14:paraId="729C45D4" w14:textId="5F01236E" w:rsidR="008955AC" w:rsidRPr="00E86669" w:rsidRDefault="00DD0AEE" w:rsidP="008955AC">
            <w:pPr>
              <w:rPr>
                <w:sz w:val="22"/>
                <w:szCs w:val="22"/>
              </w:rPr>
            </w:pPr>
            <w:r w:rsidRPr="00E86669">
              <w:rPr>
                <w:sz w:val="22"/>
                <w:szCs w:val="22"/>
              </w:rPr>
              <w:t>31-32</w:t>
            </w:r>
          </w:p>
        </w:tc>
        <w:tc>
          <w:tcPr>
            <w:tcW w:w="8025" w:type="dxa"/>
            <w:gridSpan w:val="2"/>
          </w:tcPr>
          <w:p w14:paraId="702FBC84" w14:textId="0AD1A558" w:rsidR="008955AC" w:rsidRPr="00E86669" w:rsidRDefault="00DD0AEE" w:rsidP="008955AC">
            <w:pPr>
              <w:rPr>
                <w:sz w:val="22"/>
                <w:szCs w:val="22"/>
              </w:rPr>
            </w:pPr>
            <w:r w:rsidRPr="00E86669">
              <w:rPr>
                <w:sz w:val="22"/>
                <w:szCs w:val="22"/>
              </w:rPr>
              <w:t>The scope of “conservation purposes” should be better defined</w:t>
            </w:r>
            <w:r w:rsidR="00D75E52" w:rsidRPr="00E86669">
              <w:rPr>
                <w:sz w:val="22"/>
                <w:szCs w:val="22"/>
              </w:rPr>
              <w:t xml:space="preserve"> in the report</w:t>
            </w:r>
          </w:p>
        </w:tc>
      </w:tr>
      <w:tr w:rsidR="001F25AA" w:rsidRPr="00E86669" w14:paraId="422171C4" w14:textId="77777777" w:rsidTr="00307697">
        <w:trPr>
          <w:cantSplit/>
          <w:trHeight w:val="233"/>
        </w:trPr>
        <w:tc>
          <w:tcPr>
            <w:tcW w:w="908" w:type="dxa"/>
          </w:tcPr>
          <w:p w14:paraId="27634AD9" w14:textId="28782238" w:rsidR="001F25AA" w:rsidRPr="00E86669" w:rsidRDefault="001F25AA" w:rsidP="008955AC">
            <w:pPr>
              <w:rPr>
                <w:sz w:val="22"/>
                <w:szCs w:val="22"/>
              </w:rPr>
            </w:pPr>
            <w:r w:rsidRPr="00E86669">
              <w:rPr>
                <w:sz w:val="22"/>
                <w:szCs w:val="22"/>
              </w:rPr>
              <w:t>41</w:t>
            </w:r>
          </w:p>
        </w:tc>
        <w:tc>
          <w:tcPr>
            <w:tcW w:w="1255" w:type="dxa"/>
          </w:tcPr>
          <w:p w14:paraId="273B22A0" w14:textId="26668666" w:rsidR="001F25AA" w:rsidRPr="00E86669" w:rsidRDefault="007074A2" w:rsidP="008955AC">
            <w:pPr>
              <w:rPr>
                <w:sz w:val="22"/>
                <w:szCs w:val="22"/>
              </w:rPr>
            </w:pPr>
            <w:r w:rsidRPr="00E86669">
              <w:rPr>
                <w:sz w:val="22"/>
                <w:szCs w:val="22"/>
              </w:rPr>
              <w:t>35</w:t>
            </w:r>
          </w:p>
        </w:tc>
        <w:tc>
          <w:tcPr>
            <w:tcW w:w="8025" w:type="dxa"/>
            <w:gridSpan w:val="2"/>
          </w:tcPr>
          <w:p w14:paraId="490806A6" w14:textId="252FE657" w:rsidR="001F25AA" w:rsidRPr="00E86669" w:rsidRDefault="007074A2" w:rsidP="00456891">
            <w:pPr>
              <w:rPr>
                <w:sz w:val="22"/>
                <w:szCs w:val="22"/>
              </w:rPr>
            </w:pPr>
            <w:r w:rsidRPr="00E86669">
              <w:rPr>
                <w:sz w:val="22"/>
                <w:szCs w:val="22"/>
              </w:rPr>
              <w:t>The rationale for focusing on engineered gene drives</w:t>
            </w:r>
            <w:r w:rsidR="00226186" w:rsidRPr="00E86669">
              <w:rPr>
                <w:sz w:val="22"/>
                <w:szCs w:val="22"/>
              </w:rPr>
              <w:t xml:space="preserve"> in this section</w:t>
            </w:r>
            <w:r w:rsidRPr="00E86669">
              <w:rPr>
                <w:sz w:val="22"/>
                <w:szCs w:val="22"/>
              </w:rPr>
              <w:t xml:space="preserve"> is not entirely clear</w:t>
            </w:r>
            <w:r w:rsidR="00456891" w:rsidRPr="00E86669">
              <w:rPr>
                <w:sz w:val="22"/>
                <w:szCs w:val="22"/>
              </w:rPr>
              <w:t xml:space="preserve">, </w:t>
            </w:r>
            <w:r w:rsidR="00F935A3">
              <w:rPr>
                <w:sz w:val="22"/>
                <w:szCs w:val="22"/>
              </w:rPr>
              <w:t>especially in the light of</w:t>
            </w:r>
            <w:r w:rsidR="00456891" w:rsidRPr="00E86669">
              <w:rPr>
                <w:sz w:val="22"/>
                <w:szCs w:val="22"/>
              </w:rPr>
              <w:t xml:space="preserve"> other genetic control approaches that may involve </w:t>
            </w:r>
            <w:r w:rsidR="00B20CC9" w:rsidRPr="00E86669">
              <w:rPr>
                <w:sz w:val="22"/>
                <w:szCs w:val="22"/>
              </w:rPr>
              <w:t xml:space="preserve">elements of the </w:t>
            </w:r>
            <w:r w:rsidR="00456891" w:rsidRPr="00E86669">
              <w:rPr>
                <w:sz w:val="22"/>
                <w:szCs w:val="22"/>
              </w:rPr>
              <w:t>SynBio</w:t>
            </w:r>
            <w:r w:rsidR="00B20CC9" w:rsidRPr="00E86669">
              <w:rPr>
                <w:sz w:val="22"/>
                <w:szCs w:val="22"/>
              </w:rPr>
              <w:t xml:space="preserve"> toolkit</w:t>
            </w:r>
            <w:r w:rsidR="00F935A3">
              <w:rPr>
                <w:sz w:val="22"/>
                <w:szCs w:val="22"/>
              </w:rPr>
              <w:t xml:space="preserve"> for their engineering/development.</w:t>
            </w:r>
          </w:p>
          <w:p w14:paraId="4D23BBE0" w14:textId="77777777" w:rsidR="007643F0" w:rsidRPr="00E86669" w:rsidRDefault="007643F0" w:rsidP="00456891">
            <w:pPr>
              <w:rPr>
                <w:sz w:val="22"/>
                <w:szCs w:val="22"/>
              </w:rPr>
            </w:pPr>
          </w:p>
          <w:p w14:paraId="249C1D9D" w14:textId="77777777" w:rsidR="00414DCC" w:rsidRDefault="007643F0" w:rsidP="00414DCC">
            <w:pPr>
              <w:rPr>
                <w:sz w:val="22"/>
                <w:szCs w:val="22"/>
              </w:rPr>
            </w:pPr>
            <w:r w:rsidRPr="00E86669">
              <w:rPr>
                <w:sz w:val="22"/>
                <w:szCs w:val="22"/>
              </w:rPr>
              <w:t xml:space="preserve">Moreover, </w:t>
            </w:r>
            <w:r w:rsidR="00580E44" w:rsidRPr="00E86669">
              <w:rPr>
                <w:sz w:val="22"/>
                <w:szCs w:val="22"/>
              </w:rPr>
              <w:t xml:space="preserve">it seems that </w:t>
            </w:r>
            <w:r w:rsidRPr="00E86669">
              <w:rPr>
                <w:sz w:val="22"/>
                <w:szCs w:val="22"/>
              </w:rPr>
              <w:t xml:space="preserve">the examples given are </w:t>
            </w:r>
            <w:r w:rsidR="00580E44" w:rsidRPr="00E86669">
              <w:rPr>
                <w:sz w:val="22"/>
                <w:szCs w:val="22"/>
              </w:rPr>
              <w:t>not all</w:t>
            </w:r>
            <w:r w:rsidRPr="00E86669">
              <w:rPr>
                <w:sz w:val="22"/>
                <w:szCs w:val="22"/>
              </w:rPr>
              <w:t xml:space="preserve"> </w:t>
            </w:r>
            <w:r w:rsidR="006253DD" w:rsidRPr="00E86669">
              <w:rPr>
                <w:sz w:val="22"/>
                <w:szCs w:val="22"/>
              </w:rPr>
              <w:t>up to date</w:t>
            </w:r>
            <w:r w:rsidR="00200321" w:rsidRPr="00E86669">
              <w:rPr>
                <w:sz w:val="22"/>
                <w:szCs w:val="22"/>
              </w:rPr>
              <w:t>, and</w:t>
            </w:r>
            <w:r w:rsidR="00580E44" w:rsidRPr="00E86669">
              <w:rPr>
                <w:sz w:val="22"/>
                <w:szCs w:val="22"/>
              </w:rPr>
              <w:t xml:space="preserve"> that relevant scientific publications, including more recent ones, are not cited. </w:t>
            </w:r>
            <w:r w:rsidR="003D1B47" w:rsidRPr="00E86669">
              <w:rPr>
                <w:sz w:val="22"/>
                <w:szCs w:val="22"/>
              </w:rPr>
              <w:t>Hence, it would be helpful to cite</w:t>
            </w:r>
            <w:r w:rsidR="00200321" w:rsidRPr="00E86669">
              <w:rPr>
                <w:sz w:val="22"/>
                <w:szCs w:val="22"/>
              </w:rPr>
              <w:t xml:space="preserve"> </w:t>
            </w:r>
            <w:r w:rsidR="007D2BC2" w:rsidRPr="00E86669">
              <w:rPr>
                <w:sz w:val="22"/>
                <w:szCs w:val="22"/>
              </w:rPr>
              <w:t>additional</w:t>
            </w:r>
            <w:r w:rsidR="00200321" w:rsidRPr="00E86669">
              <w:rPr>
                <w:sz w:val="22"/>
                <w:szCs w:val="22"/>
              </w:rPr>
              <w:t xml:space="preserve"> </w:t>
            </w:r>
            <w:r w:rsidR="003D1B47" w:rsidRPr="00E86669">
              <w:rPr>
                <w:sz w:val="22"/>
                <w:szCs w:val="22"/>
              </w:rPr>
              <w:t xml:space="preserve">relevant </w:t>
            </w:r>
            <w:r w:rsidR="006253DD" w:rsidRPr="00E86669">
              <w:rPr>
                <w:sz w:val="22"/>
                <w:szCs w:val="22"/>
              </w:rPr>
              <w:t>scientific publications</w:t>
            </w:r>
            <w:r w:rsidR="00B90689" w:rsidRPr="00E86669">
              <w:rPr>
                <w:sz w:val="22"/>
                <w:szCs w:val="22"/>
              </w:rPr>
              <w:t>, including more recent ones,</w:t>
            </w:r>
            <w:r w:rsidR="006253DD" w:rsidRPr="00E86669">
              <w:rPr>
                <w:sz w:val="22"/>
                <w:szCs w:val="22"/>
              </w:rPr>
              <w:t xml:space="preserve"> throughout this section</w:t>
            </w:r>
            <w:r w:rsidR="007A2AEF">
              <w:rPr>
                <w:sz w:val="22"/>
                <w:szCs w:val="22"/>
              </w:rPr>
              <w:t xml:space="preserve">. In this respect, specific emphasis could be given to </w:t>
            </w:r>
            <w:r w:rsidR="00414DCC">
              <w:rPr>
                <w:sz w:val="22"/>
                <w:szCs w:val="22"/>
              </w:rPr>
              <w:t xml:space="preserve">the revised </w:t>
            </w:r>
            <w:r w:rsidR="007A2AEF">
              <w:rPr>
                <w:sz w:val="22"/>
                <w:szCs w:val="22"/>
              </w:rPr>
              <w:t xml:space="preserve">WHO </w:t>
            </w:r>
            <w:r w:rsidR="00414DCC">
              <w:rPr>
                <w:sz w:val="22"/>
                <w:szCs w:val="22"/>
              </w:rPr>
              <w:t>guidance framework for testing GM mosquitoes.</w:t>
            </w:r>
          </w:p>
          <w:p w14:paraId="3552005B" w14:textId="77777777" w:rsidR="005D19DB" w:rsidRDefault="005D19DB" w:rsidP="00414DCC">
            <w:pPr>
              <w:rPr>
                <w:sz w:val="22"/>
                <w:szCs w:val="22"/>
              </w:rPr>
            </w:pPr>
          </w:p>
          <w:p w14:paraId="26816AEF" w14:textId="467B18B8" w:rsidR="00D11F15" w:rsidRDefault="007A17DF" w:rsidP="00D11F15">
            <w:pPr>
              <w:rPr>
                <w:sz w:val="22"/>
                <w:szCs w:val="22"/>
              </w:rPr>
            </w:pPr>
            <w:r>
              <w:rPr>
                <w:sz w:val="22"/>
                <w:szCs w:val="22"/>
              </w:rPr>
              <w:t>Some</w:t>
            </w:r>
            <w:r w:rsidR="00CE6259">
              <w:rPr>
                <w:sz w:val="22"/>
                <w:szCs w:val="22"/>
              </w:rPr>
              <w:t xml:space="preserve"> of the points raised are not specific </w:t>
            </w:r>
            <w:r w:rsidR="00902CBF">
              <w:rPr>
                <w:sz w:val="22"/>
                <w:szCs w:val="22"/>
              </w:rPr>
              <w:t xml:space="preserve">to </w:t>
            </w:r>
            <w:r w:rsidR="00AB40A8">
              <w:rPr>
                <w:sz w:val="22"/>
                <w:szCs w:val="22"/>
              </w:rPr>
              <w:t xml:space="preserve">engineered gene drives, </w:t>
            </w:r>
            <w:r w:rsidR="004F1CDB">
              <w:rPr>
                <w:sz w:val="22"/>
                <w:szCs w:val="22"/>
              </w:rPr>
              <w:t xml:space="preserve">and apply to </w:t>
            </w:r>
            <w:r>
              <w:rPr>
                <w:sz w:val="22"/>
                <w:szCs w:val="22"/>
              </w:rPr>
              <w:t xml:space="preserve">other </w:t>
            </w:r>
            <w:r w:rsidR="0088436D">
              <w:rPr>
                <w:sz w:val="22"/>
                <w:szCs w:val="22"/>
              </w:rPr>
              <w:t>biological, genetic</w:t>
            </w:r>
            <w:r w:rsidR="00850022">
              <w:rPr>
                <w:sz w:val="22"/>
                <w:szCs w:val="22"/>
              </w:rPr>
              <w:t xml:space="preserve"> and c</w:t>
            </w:r>
            <w:r w:rsidR="0088436D">
              <w:rPr>
                <w:sz w:val="22"/>
                <w:szCs w:val="22"/>
              </w:rPr>
              <w:t xml:space="preserve">hemical </w:t>
            </w:r>
            <w:r w:rsidR="004F6A69">
              <w:rPr>
                <w:sz w:val="22"/>
                <w:szCs w:val="22"/>
              </w:rPr>
              <w:t xml:space="preserve">disease vector/pest control approaches. </w:t>
            </w:r>
            <w:r w:rsidR="00C110CB">
              <w:rPr>
                <w:sz w:val="22"/>
                <w:szCs w:val="22"/>
              </w:rPr>
              <w:t xml:space="preserve">Perhaps it would be helpful to focus the text on new </w:t>
            </w:r>
            <w:r w:rsidR="00DC26C9">
              <w:rPr>
                <w:sz w:val="22"/>
                <w:szCs w:val="22"/>
              </w:rPr>
              <w:t xml:space="preserve">or </w:t>
            </w:r>
            <w:r w:rsidR="00E459DD">
              <w:rPr>
                <w:sz w:val="22"/>
                <w:szCs w:val="22"/>
              </w:rPr>
              <w:t xml:space="preserve">different harms </w:t>
            </w:r>
            <w:r w:rsidR="00F9259B">
              <w:rPr>
                <w:sz w:val="22"/>
                <w:szCs w:val="22"/>
              </w:rPr>
              <w:t>associated</w:t>
            </w:r>
            <w:r w:rsidR="005810FD">
              <w:rPr>
                <w:sz w:val="22"/>
                <w:szCs w:val="22"/>
              </w:rPr>
              <w:t xml:space="preserve"> with the potential use of engineered gene drives,</w:t>
            </w:r>
            <w:r w:rsidR="00AB136B">
              <w:rPr>
                <w:sz w:val="22"/>
                <w:szCs w:val="22"/>
              </w:rPr>
              <w:t xml:space="preserve"> and distinguish them from similar harms caused by current </w:t>
            </w:r>
            <w:r w:rsidR="0009706B">
              <w:rPr>
                <w:sz w:val="22"/>
                <w:szCs w:val="22"/>
              </w:rPr>
              <w:t>disease vector/pest control approaches.</w:t>
            </w:r>
            <w:r w:rsidR="00D11F15">
              <w:rPr>
                <w:sz w:val="22"/>
                <w:szCs w:val="22"/>
              </w:rPr>
              <w:t xml:space="preserve"> A way to achieve </w:t>
            </w:r>
            <w:r w:rsidR="00646B67">
              <w:rPr>
                <w:sz w:val="22"/>
                <w:szCs w:val="22"/>
              </w:rPr>
              <w:t xml:space="preserve">this is to </w:t>
            </w:r>
            <w:r w:rsidR="00D11F15">
              <w:rPr>
                <w:sz w:val="22"/>
                <w:szCs w:val="22"/>
              </w:rPr>
              <w:t>describe the “novel features” of engineered gene drives as compared with other (current and emerging) disease vector/pest control systems at the beginning of the section to frame the rest of the text better, and enable focusing the text on key differences between engineered gene drive-based systems and other disease vector/pest control ones</w:t>
            </w:r>
            <w:r w:rsidR="006006F1">
              <w:rPr>
                <w:sz w:val="22"/>
                <w:szCs w:val="22"/>
              </w:rPr>
              <w:t xml:space="preserve"> (see also EFSA GMO Pane</w:t>
            </w:r>
            <w:r w:rsidR="000E5AFB">
              <w:rPr>
                <w:sz w:val="22"/>
                <w:szCs w:val="22"/>
              </w:rPr>
              <w:t>l</w:t>
            </w:r>
            <w:r w:rsidR="006006F1">
              <w:rPr>
                <w:sz w:val="22"/>
                <w:szCs w:val="22"/>
              </w:rPr>
              <w:t>, 202</w:t>
            </w:r>
            <w:r w:rsidR="000E5AFB">
              <w:rPr>
                <w:sz w:val="22"/>
                <w:szCs w:val="22"/>
              </w:rPr>
              <w:t>0</w:t>
            </w:r>
            <w:r w:rsidR="006006F1">
              <w:rPr>
                <w:sz w:val="22"/>
                <w:szCs w:val="22"/>
              </w:rPr>
              <w:t>)</w:t>
            </w:r>
            <w:r w:rsidR="000E5AFB">
              <w:rPr>
                <w:sz w:val="22"/>
                <w:szCs w:val="22"/>
              </w:rPr>
              <w:t>.</w:t>
            </w:r>
          </w:p>
          <w:p w14:paraId="175BE956" w14:textId="77777777" w:rsidR="000E5AFB" w:rsidRDefault="000E5AFB" w:rsidP="00D11F15">
            <w:pPr>
              <w:rPr>
                <w:sz w:val="22"/>
                <w:szCs w:val="22"/>
              </w:rPr>
            </w:pPr>
          </w:p>
          <w:p w14:paraId="56030BC9" w14:textId="77777777" w:rsidR="000E5AFB" w:rsidRPr="00E86669" w:rsidRDefault="000E5AFB" w:rsidP="000E5AFB">
            <w:pPr>
              <w:rPr>
                <w:sz w:val="22"/>
                <w:szCs w:val="22"/>
              </w:rPr>
            </w:pPr>
            <w:r>
              <w:rPr>
                <w:sz w:val="22"/>
                <w:szCs w:val="22"/>
              </w:rPr>
              <w:t>-</w:t>
            </w:r>
            <w:r w:rsidRPr="00E86669">
              <w:rPr>
                <w:sz w:val="22"/>
                <w:szCs w:val="22"/>
              </w:rPr>
              <w:t>EFSA (European Food Safety Authority), 2020a. Scientific Opinion on the adequacy and sufficiency evaluation of existing EFSA guidelines for the molecular characterisation, environmental risk assessment and post-market environmental monitoring of genetically modified insects containing engineered gene drives. EFSA J. 18, 6297</w:t>
            </w:r>
            <w:r>
              <w:rPr>
                <w:sz w:val="22"/>
                <w:szCs w:val="22"/>
              </w:rPr>
              <w:t>.</w:t>
            </w:r>
          </w:p>
          <w:p w14:paraId="22AC2C05" w14:textId="709C5497" w:rsidR="00414DCC" w:rsidRPr="000E5AFB" w:rsidRDefault="000E5AFB" w:rsidP="000E5AFB">
            <w:pPr>
              <w:rPr>
                <w:sz w:val="22"/>
                <w:szCs w:val="22"/>
              </w:rPr>
            </w:pPr>
            <w:r>
              <w:rPr>
                <w:sz w:val="22"/>
                <w:szCs w:val="22"/>
              </w:rPr>
              <w:t>-</w:t>
            </w:r>
            <w:r w:rsidR="00414DCC">
              <w:rPr>
                <w:sz w:val="22"/>
                <w:szCs w:val="22"/>
              </w:rPr>
              <w:t>W</w:t>
            </w:r>
            <w:r w:rsidR="00414DCC" w:rsidRPr="00E86669">
              <w:rPr>
                <w:sz w:val="22"/>
                <w:szCs w:val="22"/>
              </w:rPr>
              <w:t xml:space="preserve">HO (World Health Organization), 2021. </w:t>
            </w:r>
            <w:r w:rsidR="00414DCC" w:rsidRPr="00E86669">
              <w:rPr>
                <w:rStyle w:val="A2"/>
                <w:rFonts w:cs="Times New Roman"/>
                <w:sz w:val="22"/>
                <w:szCs w:val="22"/>
              </w:rPr>
              <w:t xml:space="preserve">Guidance framework for testing genetically modified mosquitoes, second edition. ISBN 978-92-4-002523-3. Available from: </w:t>
            </w:r>
            <w:hyperlink r:id="rId13" w:history="1">
              <w:r w:rsidR="00414DCC" w:rsidRPr="00E86669">
                <w:rPr>
                  <w:rStyle w:val="Hyperlink"/>
                  <w:sz w:val="22"/>
                  <w:szCs w:val="22"/>
                </w:rPr>
                <w:t>https://www.who.int/publications/i/item/9789240025233</w:t>
              </w:r>
            </w:hyperlink>
          </w:p>
        </w:tc>
      </w:tr>
      <w:tr w:rsidR="008955AC" w:rsidRPr="00E86669" w14:paraId="395ADC0D" w14:textId="77777777" w:rsidTr="00307697">
        <w:trPr>
          <w:cantSplit/>
          <w:trHeight w:val="233"/>
        </w:trPr>
        <w:tc>
          <w:tcPr>
            <w:tcW w:w="908" w:type="dxa"/>
          </w:tcPr>
          <w:p w14:paraId="1D957C09" w14:textId="2B4B5E8E" w:rsidR="008955AC" w:rsidRPr="00E86669" w:rsidRDefault="00C95B5A" w:rsidP="008955AC">
            <w:pPr>
              <w:rPr>
                <w:sz w:val="22"/>
                <w:szCs w:val="22"/>
              </w:rPr>
            </w:pPr>
            <w:r w:rsidRPr="00E86669">
              <w:rPr>
                <w:sz w:val="22"/>
                <w:szCs w:val="22"/>
              </w:rPr>
              <w:t>41</w:t>
            </w:r>
          </w:p>
        </w:tc>
        <w:tc>
          <w:tcPr>
            <w:tcW w:w="1255" w:type="dxa"/>
          </w:tcPr>
          <w:p w14:paraId="0AC42650" w14:textId="6AFC1A8E" w:rsidR="008955AC" w:rsidRPr="00E86669" w:rsidRDefault="00C95B5A" w:rsidP="008955AC">
            <w:pPr>
              <w:rPr>
                <w:sz w:val="22"/>
                <w:szCs w:val="22"/>
              </w:rPr>
            </w:pPr>
            <w:r w:rsidRPr="00E86669">
              <w:rPr>
                <w:sz w:val="22"/>
                <w:szCs w:val="22"/>
              </w:rPr>
              <w:t>36-37</w:t>
            </w:r>
          </w:p>
        </w:tc>
        <w:tc>
          <w:tcPr>
            <w:tcW w:w="8025" w:type="dxa"/>
            <w:gridSpan w:val="2"/>
          </w:tcPr>
          <w:p w14:paraId="21FE71A7" w14:textId="00CEB70A" w:rsidR="008955AC" w:rsidRPr="00E86669" w:rsidRDefault="00C95B5A" w:rsidP="008955AC">
            <w:pPr>
              <w:rPr>
                <w:sz w:val="22"/>
                <w:szCs w:val="22"/>
              </w:rPr>
            </w:pPr>
            <w:r w:rsidRPr="00E86669">
              <w:rPr>
                <w:sz w:val="22"/>
                <w:szCs w:val="22"/>
              </w:rPr>
              <w:t xml:space="preserve">Not all the intended uses listed here are specific to </w:t>
            </w:r>
            <w:r w:rsidR="00A11D02" w:rsidRPr="00E86669">
              <w:rPr>
                <w:sz w:val="22"/>
                <w:szCs w:val="22"/>
              </w:rPr>
              <w:t xml:space="preserve">GM insects with engineered gene drives. </w:t>
            </w:r>
            <w:r w:rsidR="00A42653" w:rsidRPr="00E86669">
              <w:rPr>
                <w:sz w:val="22"/>
                <w:szCs w:val="22"/>
              </w:rPr>
              <w:t>Other (novel) genetic control approaches have more or less similar goals</w:t>
            </w:r>
            <w:r w:rsidR="007750F9" w:rsidRPr="00E86669">
              <w:rPr>
                <w:sz w:val="22"/>
                <w:szCs w:val="22"/>
              </w:rPr>
              <w:t xml:space="preserve">. Perhaps this point </w:t>
            </w:r>
            <w:r w:rsidR="00047A4B">
              <w:rPr>
                <w:sz w:val="22"/>
                <w:szCs w:val="22"/>
              </w:rPr>
              <w:t>c</w:t>
            </w:r>
            <w:r w:rsidR="007750F9" w:rsidRPr="00E86669">
              <w:rPr>
                <w:sz w:val="22"/>
                <w:szCs w:val="22"/>
              </w:rPr>
              <w:t xml:space="preserve">ould be acknowledged more explicitly </w:t>
            </w:r>
          </w:p>
        </w:tc>
      </w:tr>
      <w:tr w:rsidR="00203C56" w:rsidRPr="00E86669" w14:paraId="3139641C" w14:textId="77777777" w:rsidTr="00307697">
        <w:trPr>
          <w:cantSplit/>
          <w:trHeight w:val="233"/>
        </w:trPr>
        <w:tc>
          <w:tcPr>
            <w:tcW w:w="908" w:type="dxa"/>
          </w:tcPr>
          <w:p w14:paraId="1865C0B2" w14:textId="19C1BB11" w:rsidR="00203C56" w:rsidRPr="00E86669" w:rsidRDefault="00203C56" w:rsidP="008955AC">
            <w:pPr>
              <w:rPr>
                <w:sz w:val="22"/>
                <w:szCs w:val="22"/>
              </w:rPr>
            </w:pPr>
            <w:r w:rsidRPr="00E86669">
              <w:rPr>
                <w:sz w:val="22"/>
                <w:szCs w:val="22"/>
              </w:rPr>
              <w:lastRenderedPageBreak/>
              <w:t>41</w:t>
            </w:r>
          </w:p>
        </w:tc>
        <w:tc>
          <w:tcPr>
            <w:tcW w:w="1255" w:type="dxa"/>
          </w:tcPr>
          <w:p w14:paraId="129E2397" w14:textId="4722BD4E" w:rsidR="00203C56" w:rsidRPr="00E86669" w:rsidRDefault="004F5807" w:rsidP="008955AC">
            <w:pPr>
              <w:rPr>
                <w:sz w:val="22"/>
                <w:szCs w:val="22"/>
              </w:rPr>
            </w:pPr>
            <w:r w:rsidRPr="00E86669">
              <w:rPr>
                <w:sz w:val="22"/>
                <w:szCs w:val="22"/>
              </w:rPr>
              <w:t>38-39</w:t>
            </w:r>
          </w:p>
        </w:tc>
        <w:tc>
          <w:tcPr>
            <w:tcW w:w="8025" w:type="dxa"/>
            <w:gridSpan w:val="2"/>
          </w:tcPr>
          <w:p w14:paraId="57C810CD" w14:textId="5F094928" w:rsidR="00203C56" w:rsidRPr="00E86669" w:rsidRDefault="00203C56" w:rsidP="008955AC">
            <w:pPr>
              <w:rPr>
                <w:sz w:val="22"/>
                <w:szCs w:val="22"/>
              </w:rPr>
            </w:pPr>
            <w:r w:rsidRPr="00E86669">
              <w:rPr>
                <w:sz w:val="22"/>
                <w:szCs w:val="22"/>
              </w:rPr>
              <w:t>What about the potential to help rescue endangered species?</w:t>
            </w:r>
          </w:p>
        </w:tc>
      </w:tr>
      <w:tr w:rsidR="001A191D" w:rsidRPr="00E86669" w14:paraId="7656B38E" w14:textId="77777777" w:rsidTr="00307697">
        <w:trPr>
          <w:cantSplit/>
          <w:trHeight w:val="233"/>
        </w:trPr>
        <w:tc>
          <w:tcPr>
            <w:tcW w:w="908" w:type="dxa"/>
          </w:tcPr>
          <w:p w14:paraId="416F8C45" w14:textId="0603917A" w:rsidR="001A191D" w:rsidRPr="00E86669" w:rsidRDefault="001A191D" w:rsidP="008955AC">
            <w:pPr>
              <w:rPr>
                <w:sz w:val="22"/>
                <w:szCs w:val="22"/>
              </w:rPr>
            </w:pPr>
            <w:r>
              <w:rPr>
                <w:sz w:val="22"/>
                <w:szCs w:val="22"/>
              </w:rPr>
              <w:t>42</w:t>
            </w:r>
          </w:p>
        </w:tc>
        <w:tc>
          <w:tcPr>
            <w:tcW w:w="1255" w:type="dxa"/>
          </w:tcPr>
          <w:p w14:paraId="6F65070F" w14:textId="208C720F" w:rsidR="001A191D" w:rsidRPr="00E86669" w:rsidRDefault="001A191D" w:rsidP="008955AC">
            <w:pPr>
              <w:rPr>
                <w:sz w:val="22"/>
                <w:szCs w:val="22"/>
              </w:rPr>
            </w:pPr>
            <w:r>
              <w:rPr>
                <w:sz w:val="22"/>
                <w:szCs w:val="22"/>
              </w:rPr>
              <w:t>20-24</w:t>
            </w:r>
          </w:p>
        </w:tc>
        <w:tc>
          <w:tcPr>
            <w:tcW w:w="8025" w:type="dxa"/>
            <w:gridSpan w:val="2"/>
          </w:tcPr>
          <w:p w14:paraId="11CCBC0B" w14:textId="7B6AED68" w:rsidR="001A191D" w:rsidRPr="00E86669" w:rsidRDefault="001A191D" w:rsidP="001A191D">
            <w:pPr>
              <w:rPr>
                <w:sz w:val="22"/>
                <w:szCs w:val="22"/>
              </w:rPr>
            </w:pPr>
            <w:r>
              <w:rPr>
                <w:sz w:val="22"/>
                <w:szCs w:val="22"/>
              </w:rPr>
              <w:t xml:space="preserve">Off-target mutations do not constitute </w:t>
            </w:r>
            <w:r w:rsidRPr="001A191D">
              <w:rPr>
                <w:i/>
                <w:sz w:val="22"/>
                <w:szCs w:val="22"/>
              </w:rPr>
              <w:t>per se</w:t>
            </w:r>
            <w:r>
              <w:rPr>
                <w:sz w:val="22"/>
                <w:szCs w:val="22"/>
              </w:rPr>
              <w:t xml:space="preserve"> an unwanted impact on biodiversity. We suggest to delete “off-target mutations”. To consider possible impacts of off-target mutations, we suggest to amend the beginning of the sentence as follows: “Further, depending on the type and scale of the </w:t>
            </w:r>
            <w:r w:rsidRPr="001A191D">
              <w:rPr>
                <w:sz w:val="22"/>
                <w:szCs w:val="22"/>
                <w:u w:val="single"/>
              </w:rPr>
              <w:t>intended and unintended</w:t>
            </w:r>
            <w:r>
              <w:rPr>
                <w:sz w:val="22"/>
                <w:szCs w:val="22"/>
              </w:rPr>
              <w:t xml:space="preserve"> modifications,…”</w:t>
            </w:r>
          </w:p>
        </w:tc>
      </w:tr>
      <w:tr w:rsidR="00BF4D82" w:rsidRPr="00E86669" w14:paraId="62CD02E8" w14:textId="77777777" w:rsidTr="00307697">
        <w:trPr>
          <w:cantSplit/>
          <w:trHeight w:val="233"/>
        </w:trPr>
        <w:tc>
          <w:tcPr>
            <w:tcW w:w="908" w:type="dxa"/>
          </w:tcPr>
          <w:p w14:paraId="1E1F5E50" w14:textId="798FDFEE" w:rsidR="00BF4D82" w:rsidRPr="00E86669" w:rsidRDefault="00BF4D82" w:rsidP="008955AC">
            <w:pPr>
              <w:rPr>
                <w:sz w:val="22"/>
                <w:szCs w:val="22"/>
              </w:rPr>
            </w:pPr>
            <w:r>
              <w:rPr>
                <w:sz w:val="22"/>
                <w:szCs w:val="22"/>
              </w:rPr>
              <w:t>43</w:t>
            </w:r>
          </w:p>
        </w:tc>
        <w:tc>
          <w:tcPr>
            <w:tcW w:w="1255" w:type="dxa"/>
          </w:tcPr>
          <w:p w14:paraId="3471E9F2" w14:textId="49D5C610" w:rsidR="00BF4D82" w:rsidRPr="00E86669" w:rsidRDefault="009A4B89" w:rsidP="008955AC">
            <w:pPr>
              <w:rPr>
                <w:sz w:val="22"/>
                <w:szCs w:val="22"/>
              </w:rPr>
            </w:pPr>
            <w:r>
              <w:rPr>
                <w:sz w:val="22"/>
                <w:szCs w:val="22"/>
              </w:rPr>
              <w:t>32-</w:t>
            </w:r>
            <w:r w:rsidR="00FB7FF3">
              <w:rPr>
                <w:sz w:val="22"/>
                <w:szCs w:val="22"/>
              </w:rPr>
              <w:t>45</w:t>
            </w:r>
          </w:p>
        </w:tc>
        <w:tc>
          <w:tcPr>
            <w:tcW w:w="8025" w:type="dxa"/>
            <w:gridSpan w:val="2"/>
          </w:tcPr>
          <w:p w14:paraId="28DA67A0" w14:textId="77777777" w:rsidR="00826BA6" w:rsidRDefault="00D31743" w:rsidP="008955AC">
            <w:pPr>
              <w:rPr>
                <w:sz w:val="22"/>
                <w:szCs w:val="22"/>
              </w:rPr>
            </w:pPr>
            <w:r>
              <w:rPr>
                <w:sz w:val="22"/>
                <w:szCs w:val="22"/>
              </w:rPr>
              <w:t xml:space="preserve">The text does not explore </w:t>
            </w:r>
            <w:r w:rsidR="005E5FD0">
              <w:rPr>
                <w:sz w:val="22"/>
                <w:szCs w:val="22"/>
              </w:rPr>
              <w:t xml:space="preserve">how loss of engineered gene drive efficacy could </w:t>
            </w:r>
            <w:r w:rsidR="00EB7A74">
              <w:rPr>
                <w:sz w:val="22"/>
                <w:szCs w:val="22"/>
              </w:rPr>
              <w:t xml:space="preserve">result in harm. Perhaps </w:t>
            </w:r>
            <w:r w:rsidR="00C42B2C">
              <w:rPr>
                <w:sz w:val="22"/>
                <w:szCs w:val="22"/>
              </w:rPr>
              <w:t xml:space="preserve">this requires further consideration. </w:t>
            </w:r>
          </w:p>
          <w:p w14:paraId="17CC6E07" w14:textId="77777777" w:rsidR="00826BA6" w:rsidRDefault="00826BA6" w:rsidP="008955AC">
            <w:pPr>
              <w:rPr>
                <w:sz w:val="22"/>
                <w:szCs w:val="22"/>
              </w:rPr>
            </w:pPr>
          </w:p>
          <w:p w14:paraId="1128BC50" w14:textId="17D6FE63" w:rsidR="00BF4D82" w:rsidRPr="00E86669" w:rsidRDefault="00C42B2C" w:rsidP="008955AC">
            <w:pPr>
              <w:rPr>
                <w:sz w:val="22"/>
                <w:szCs w:val="22"/>
              </w:rPr>
            </w:pPr>
            <w:r>
              <w:rPr>
                <w:sz w:val="22"/>
                <w:szCs w:val="22"/>
              </w:rPr>
              <w:t xml:space="preserve">Moreover, it </w:t>
            </w:r>
            <w:r w:rsidR="005F04FE">
              <w:rPr>
                <w:sz w:val="22"/>
                <w:szCs w:val="22"/>
              </w:rPr>
              <w:t xml:space="preserve">would be helpful to mention </w:t>
            </w:r>
            <w:r w:rsidR="00CE216D">
              <w:rPr>
                <w:sz w:val="22"/>
                <w:szCs w:val="22"/>
              </w:rPr>
              <w:t xml:space="preserve">to which </w:t>
            </w:r>
            <w:r w:rsidR="00D05EB6">
              <w:rPr>
                <w:sz w:val="22"/>
                <w:szCs w:val="22"/>
              </w:rPr>
              <w:t>extent</w:t>
            </w:r>
            <w:r w:rsidR="00CB4B8E">
              <w:rPr>
                <w:sz w:val="22"/>
                <w:szCs w:val="22"/>
              </w:rPr>
              <w:t xml:space="preserve"> </w:t>
            </w:r>
            <w:r w:rsidR="00CE216D">
              <w:rPr>
                <w:sz w:val="22"/>
                <w:szCs w:val="22"/>
              </w:rPr>
              <w:t>the potential for resistance to evolve is higher</w:t>
            </w:r>
            <w:r w:rsidR="00D05EB6">
              <w:rPr>
                <w:sz w:val="22"/>
                <w:szCs w:val="22"/>
              </w:rPr>
              <w:t>, similar or lower</w:t>
            </w:r>
            <w:r w:rsidR="00CE216D">
              <w:rPr>
                <w:sz w:val="22"/>
                <w:szCs w:val="22"/>
              </w:rPr>
              <w:t xml:space="preserve"> for engineered </w:t>
            </w:r>
            <w:r w:rsidR="003F3D83">
              <w:rPr>
                <w:sz w:val="22"/>
                <w:szCs w:val="22"/>
              </w:rPr>
              <w:t xml:space="preserve">gene drive systems </w:t>
            </w:r>
            <w:r w:rsidR="009E2F7E">
              <w:rPr>
                <w:sz w:val="22"/>
                <w:szCs w:val="22"/>
              </w:rPr>
              <w:t>compared to other disease vector/pest</w:t>
            </w:r>
            <w:r w:rsidR="007249D6">
              <w:rPr>
                <w:sz w:val="22"/>
                <w:szCs w:val="22"/>
              </w:rPr>
              <w:t xml:space="preserve"> control systems</w:t>
            </w:r>
          </w:p>
        </w:tc>
      </w:tr>
      <w:tr w:rsidR="005C4F36" w:rsidRPr="00E86669" w14:paraId="6DF25A44" w14:textId="77777777" w:rsidTr="00307697">
        <w:trPr>
          <w:cantSplit/>
          <w:trHeight w:val="233"/>
        </w:trPr>
        <w:tc>
          <w:tcPr>
            <w:tcW w:w="908" w:type="dxa"/>
          </w:tcPr>
          <w:p w14:paraId="7A36DC02" w14:textId="77777777" w:rsidR="005C4F36" w:rsidRPr="00E86669" w:rsidRDefault="005C4F36" w:rsidP="005C4F36">
            <w:pPr>
              <w:rPr>
                <w:sz w:val="22"/>
                <w:szCs w:val="22"/>
              </w:rPr>
            </w:pPr>
            <w:r>
              <w:rPr>
                <w:sz w:val="22"/>
                <w:szCs w:val="22"/>
              </w:rPr>
              <w:t>44</w:t>
            </w:r>
          </w:p>
        </w:tc>
        <w:tc>
          <w:tcPr>
            <w:tcW w:w="1255" w:type="dxa"/>
          </w:tcPr>
          <w:p w14:paraId="25A3387B" w14:textId="77777777" w:rsidR="005C4F36" w:rsidRPr="00E86669" w:rsidRDefault="005C4F36" w:rsidP="005C4F36">
            <w:pPr>
              <w:rPr>
                <w:sz w:val="22"/>
                <w:szCs w:val="22"/>
              </w:rPr>
            </w:pPr>
            <w:r>
              <w:rPr>
                <w:sz w:val="22"/>
                <w:szCs w:val="22"/>
              </w:rPr>
              <w:t>1-10</w:t>
            </w:r>
          </w:p>
        </w:tc>
        <w:tc>
          <w:tcPr>
            <w:tcW w:w="8025" w:type="dxa"/>
            <w:gridSpan w:val="2"/>
          </w:tcPr>
          <w:p w14:paraId="01BA94FD" w14:textId="77777777" w:rsidR="005C4F36" w:rsidRPr="00E86669" w:rsidRDefault="005C4F36" w:rsidP="005C4F36">
            <w:pPr>
              <w:rPr>
                <w:sz w:val="22"/>
                <w:szCs w:val="22"/>
              </w:rPr>
            </w:pPr>
            <w:r>
              <w:rPr>
                <w:sz w:val="22"/>
                <w:szCs w:val="22"/>
              </w:rPr>
              <w:t xml:space="preserve">The points raised are not specific to engineered gene drives, but also apply to other disease vector/pest control strategies. It would therefore be important to underline more explicitly what novel features of engineered gene drives may cause more or different harms compared to currently used control systems </w:t>
            </w:r>
          </w:p>
        </w:tc>
      </w:tr>
      <w:tr w:rsidR="003D578E" w:rsidRPr="00E86669" w14:paraId="745F2BC9" w14:textId="77777777" w:rsidTr="00307697">
        <w:trPr>
          <w:cantSplit/>
          <w:trHeight w:val="233"/>
        </w:trPr>
        <w:tc>
          <w:tcPr>
            <w:tcW w:w="908" w:type="dxa"/>
          </w:tcPr>
          <w:p w14:paraId="7FE00AE9" w14:textId="77777777" w:rsidR="003D578E" w:rsidRPr="00E86669" w:rsidRDefault="003D578E" w:rsidP="003D578E">
            <w:pPr>
              <w:rPr>
                <w:sz w:val="22"/>
                <w:szCs w:val="22"/>
              </w:rPr>
            </w:pPr>
            <w:r>
              <w:rPr>
                <w:sz w:val="22"/>
                <w:szCs w:val="22"/>
              </w:rPr>
              <w:t>44</w:t>
            </w:r>
          </w:p>
        </w:tc>
        <w:tc>
          <w:tcPr>
            <w:tcW w:w="1255" w:type="dxa"/>
          </w:tcPr>
          <w:p w14:paraId="510F88E0" w14:textId="77777777" w:rsidR="003D578E" w:rsidRPr="00E86669" w:rsidRDefault="003D578E" w:rsidP="003D578E">
            <w:pPr>
              <w:rPr>
                <w:sz w:val="22"/>
                <w:szCs w:val="22"/>
              </w:rPr>
            </w:pPr>
            <w:r>
              <w:rPr>
                <w:sz w:val="22"/>
                <w:szCs w:val="22"/>
              </w:rPr>
              <w:t>11-24</w:t>
            </w:r>
          </w:p>
        </w:tc>
        <w:tc>
          <w:tcPr>
            <w:tcW w:w="8025" w:type="dxa"/>
            <w:gridSpan w:val="2"/>
          </w:tcPr>
          <w:p w14:paraId="5C02D982" w14:textId="77777777" w:rsidR="003D578E" w:rsidRPr="00E86669" w:rsidRDefault="003D578E" w:rsidP="003D578E">
            <w:pPr>
              <w:rPr>
                <w:sz w:val="22"/>
                <w:szCs w:val="22"/>
              </w:rPr>
            </w:pPr>
            <w:r>
              <w:rPr>
                <w:sz w:val="22"/>
                <w:szCs w:val="22"/>
              </w:rPr>
              <w:t>It may be helpful to address the potential spread and persistence characteristics of engineered gene drives at the beginning of the section instead of at the end</w:t>
            </w:r>
          </w:p>
        </w:tc>
      </w:tr>
      <w:tr w:rsidR="001A191D" w:rsidRPr="00E86669" w14:paraId="3FEC7E35" w14:textId="77777777" w:rsidTr="00307697">
        <w:trPr>
          <w:cantSplit/>
          <w:trHeight w:val="233"/>
        </w:trPr>
        <w:tc>
          <w:tcPr>
            <w:tcW w:w="908" w:type="dxa"/>
          </w:tcPr>
          <w:p w14:paraId="309657D1" w14:textId="54DF4718" w:rsidR="001A191D" w:rsidRDefault="001A191D" w:rsidP="003D578E">
            <w:pPr>
              <w:rPr>
                <w:sz w:val="22"/>
                <w:szCs w:val="22"/>
              </w:rPr>
            </w:pPr>
            <w:r>
              <w:rPr>
                <w:sz w:val="22"/>
                <w:szCs w:val="22"/>
              </w:rPr>
              <w:t>44</w:t>
            </w:r>
          </w:p>
        </w:tc>
        <w:tc>
          <w:tcPr>
            <w:tcW w:w="1255" w:type="dxa"/>
          </w:tcPr>
          <w:p w14:paraId="12B3B3F6" w14:textId="26D5470E" w:rsidR="001A191D" w:rsidRDefault="001A191D" w:rsidP="003D578E">
            <w:pPr>
              <w:rPr>
                <w:sz w:val="22"/>
                <w:szCs w:val="22"/>
              </w:rPr>
            </w:pPr>
            <w:r>
              <w:rPr>
                <w:sz w:val="22"/>
                <w:szCs w:val="22"/>
              </w:rPr>
              <w:t>35-40</w:t>
            </w:r>
          </w:p>
        </w:tc>
        <w:tc>
          <w:tcPr>
            <w:tcW w:w="8025" w:type="dxa"/>
            <w:gridSpan w:val="2"/>
          </w:tcPr>
          <w:p w14:paraId="130B9F57" w14:textId="753918CC" w:rsidR="001A191D" w:rsidRDefault="001A191D" w:rsidP="003D578E">
            <w:pPr>
              <w:rPr>
                <w:sz w:val="22"/>
                <w:szCs w:val="22"/>
              </w:rPr>
            </w:pPr>
            <w:r>
              <w:rPr>
                <w:sz w:val="22"/>
                <w:szCs w:val="22"/>
              </w:rPr>
              <w:t>Several impacts mentioned in this paragraph have been considered, but not really observed from analogous applications exploiting genetic modification technology in agriculture. We suggest to replace “observed” with “considered”.</w:t>
            </w:r>
          </w:p>
        </w:tc>
      </w:tr>
      <w:tr w:rsidR="00435AFB" w:rsidRPr="00E86669" w14:paraId="285F0EEF" w14:textId="77777777" w:rsidTr="00307697">
        <w:trPr>
          <w:cantSplit/>
          <w:trHeight w:val="233"/>
        </w:trPr>
        <w:tc>
          <w:tcPr>
            <w:tcW w:w="908" w:type="dxa"/>
          </w:tcPr>
          <w:p w14:paraId="5505AB0A" w14:textId="0616964C" w:rsidR="00435AFB" w:rsidRDefault="00435AFB" w:rsidP="003D578E">
            <w:pPr>
              <w:rPr>
                <w:sz w:val="22"/>
                <w:szCs w:val="22"/>
              </w:rPr>
            </w:pPr>
            <w:r>
              <w:rPr>
                <w:sz w:val="22"/>
                <w:szCs w:val="22"/>
              </w:rPr>
              <w:t>44</w:t>
            </w:r>
          </w:p>
        </w:tc>
        <w:tc>
          <w:tcPr>
            <w:tcW w:w="1255" w:type="dxa"/>
          </w:tcPr>
          <w:p w14:paraId="557F88E1" w14:textId="42DEEBDF" w:rsidR="00435AFB" w:rsidRDefault="00435AFB" w:rsidP="003D578E">
            <w:pPr>
              <w:rPr>
                <w:sz w:val="22"/>
                <w:szCs w:val="22"/>
              </w:rPr>
            </w:pPr>
            <w:r>
              <w:rPr>
                <w:sz w:val="22"/>
                <w:szCs w:val="22"/>
              </w:rPr>
              <w:t>41-46</w:t>
            </w:r>
          </w:p>
        </w:tc>
        <w:tc>
          <w:tcPr>
            <w:tcW w:w="8025" w:type="dxa"/>
            <w:gridSpan w:val="2"/>
          </w:tcPr>
          <w:p w14:paraId="18B30F4F" w14:textId="03E2B734" w:rsidR="00435AFB" w:rsidRDefault="00435AFB" w:rsidP="00435AFB">
            <w:pPr>
              <w:rPr>
                <w:sz w:val="22"/>
                <w:szCs w:val="22"/>
              </w:rPr>
            </w:pPr>
            <w:r>
              <w:rPr>
                <w:sz w:val="22"/>
                <w:szCs w:val="22"/>
              </w:rPr>
              <w:t xml:space="preserve">As reported later in the text, “mutagenesis techniques used in conventional breeding are rife with off-target effects…” (page 45, lines 6-7). Therefore, we suggest to amend the text here as follows: “again, phenomena that have been reported with classical genetic engineering </w:t>
            </w:r>
            <w:r w:rsidRPr="00435AFB">
              <w:rPr>
                <w:sz w:val="22"/>
                <w:szCs w:val="22"/>
                <w:u w:val="single"/>
              </w:rPr>
              <w:t>as well as conventional breeding</w:t>
            </w:r>
            <w:r>
              <w:rPr>
                <w:sz w:val="22"/>
                <w:szCs w:val="22"/>
              </w:rPr>
              <w:t>”.</w:t>
            </w:r>
          </w:p>
        </w:tc>
      </w:tr>
      <w:tr w:rsidR="00A4264D" w:rsidRPr="00E86669" w14:paraId="49FA154A" w14:textId="77777777" w:rsidTr="00307697">
        <w:trPr>
          <w:cantSplit/>
          <w:trHeight w:val="233"/>
        </w:trPr>
        <w:tc>
          <w:tcPr>
            <w:tcW w:w="908" w:type="dxa"/>
          </w:tcPr>
          <w:p w14:paraId="57FCC7CB" w14:textId="6358EC3D" w:rsidR="00A4264D" w:rsidRDefault="00A4264D" w:rsidP="003D578E">
            <w:pPr>
              <w:rPr>
                <w:sz w:val="22"/>
                <w:szCs w:val="22"/>
              </w:rPr>
            </w:pPr>
            <w:r>
              <w:rPr>
                <w:sz w:val="22"/>
                <w:szCs w:val="22"/>
              </w:rPr>
              <w:t>45</w:t>
            </w:r>
          </w:p>
        </w:tc>
        <w:tc>
          <w:tcPr>
            <w:tcW w:w="1255" w:type="dxa"/>
          </w:tcPr>
          <w:p w14:paraId="17899442" w14:textId="656BC649" w:rsidR="00A4264D" w:rsidRDefault="00A4264D" w:rsidP="003D578E">
            <w:pPr>
              <w:rPr>
                <w:sz w:val="22"/>
                <w:szCs w:val="22"/>
              </w:rPr>
            </w:pPr>
            <w:r>
              <w:rPr>
                <w:sz w:val="22"/>
                <w:szCs w:val="22"/>
              </w:rPr>
              <w:t>9</w:t>
            </w:r>
          </w:p>
        </w:tc>
        <w:tc>
          <w:tcPr>
            <w:tcW w:w="8025" w:type="dxa"/>
            <w:gridSpan w:val="2"/>
          </w:tcPr>
          <w:p w14:paraId="140975D4" w14:textId="28601402" w:rsidR="00A4264D" w:rsidRDefault="00A4264D" w:rsidP="00DD4B5A">
            <w:pPr>
              <w:rPr>
                <w:sz w:val="22"/>
                <w:szCs w:val="22"/>
              </w:rPr>
            </w:pPr>
            <w:r>
              <w:rPr>
                <w:sz w:val="22"/>
                <w:szCs w:val="22"/>
              </w:rPr>
              <w:t>We believe that an important consideration has not been reported in the document and we suggest to include the following: “Experimental evidence indicates that off-target mutations potentially induced by genome editing techniques are of the same type as those mutations obtained through conventional breeding (</w:t>
            </w:r>
            <w:r w:rsidR="00DD4B5A" w:rsidRPr="00DD4B5A">
              <w:rPr>
                <w:sz w:val="22"/>
                <w:szCs w:val="22"/>
              </w:rPr>
              <w:t>EFSA Panel on Genetically Modified Organisms (GMO), ‘Applicability of the EFSA Opinion on SDNs type 3 for the safety assessment of plants developed using SDNs type 1 and 2 and oligonucleotide-directed mutagenesis’, EFSA Journal 2020;18(11):6299. doi:10.2903/j.efsa.2020.6299</w:t>
            </w:r>
            <w:r w:rsidR="00DD4B5A">
              <w:rPr>
                <w:sz w:val="22"/>
                <w:szCs w:val="22"/>
              </w:rPr>
              <w:t>).</w:t>
            </w:r>
          </w:p>
        </w:tc>
      </w:tr>
      <w:tr w:rsidR="00DD4B5A" w:rsidRPr="00E86669" w14:paraId="6FF7F970" w14:textId="77777777" w:rsidTr="00307697">
        <w:trPr>
          <w:cantSplit/>
          <w:trHeight w:val="233"/>
        </w:trPr>
        <w:tc>
          <w:tcPr>
            <w:tcW w:w="908" w:type="dxa"/>
          </w:tcPr>
          <w:p w14:paraId="68D89A17" w14:textId="2204CD50" w:rsidR="00DD4B5A" w:rsidRDefault="00DD4B5A" w:rsidP="003D578E">
            <w:pPr>
              <w:rPr>
                <w:sz w:val="22"/>
                <w:szCs w:val="22"/>
              </w:rPr>
            </w:pPr>
            <w:r>
              <w:rPr>
                <w:sz w:val="22"/>
                <w:szCs w:val="22"/>
              </w:rPr>
              <w:t>45</w:t>
            </w:r>
          </w:p>
        </w:tc>
        <w:tc>
          <w:tcPr>
            <w:tcW w:w="1255" w:type="dxa"/>
          </w:tcPr>
          <w:p w14:paraId="589C5499" w14:textId="21CCA62F" w:rsidR="00DD4B5A" w:rsidRDefault="00DD4B5A" w:rsidP="003D578E">
            <w:pPr>
              <w:rPr>
                <w:sz w:val="22"/>
                <w:szCs w:val="22"/>
              </w:rPr>
            </w:pPr>
            <w:r>
              <w:rPr>
                <w:sz w:val="22"/>
                <w:szCs w:val="22"/>
              </w:rPr>
              <w:t>11-13</w:t>
            </w:r>
          </w:p>
        </w:tc>
        <w:tc>
          <w:tcPr>
            <w:tcW w:w="8025" w:type="dxa"/>
            <w:gridSpan w:val="2"/>
          </w:tcPr>
          <w:p w14:paraId="00664F2C" w14:textId="64E5C6E8" w:rsidR="00DD4B5A" w:rsidRDefault="00DD4B5A" w:rsidP="00DD4B5A">
            <w:pPr>
              <w:rPr>
                <w:sz w:val="22"/>
                <w:szCs w:val="22"/>
              </w:rPr>
            </w:pPr>
            <w:r>
              <w:rPr>
                <w:sz w:val="22"/>
                <w:szCs w:val="22"/>
              </w:rPr>
              <w:t xml:space="preserve">We believe that the sentence, as it is formulated, does not reflect fully the statement of the European Commission High Level Group of Scientific Advisors 2017.We suggest to amend the sentence as follows: “ Those off-target changes that remain may </w:t>
            </w:r>
            <w:r w:rsidRPr="00DD4B5A">
              <w:rPr>
                <w:sz w:val="22"/>
                <w:szCs w:val="22"/>
                <w:u w:val="single"/>
              </w:rPr>
              <w:t>or may not</w:t>
            </w:r>
            <w:r>
              <w:rPr>
                <w:sz w:val="22"/>
                <w:szCs w:val="22"/>
              </w:rPr>
              <w:t xml:space="preserve"> lead to phenotypic effects…”</w:t>
            </w:r>
          </w:p>
        </w:tc>
      </w:tr>
      <w:tr w:rsidR="00341B21" w:rsidRPr="00E86669" w14:paraId="76266F7D" w14:textId="77777777" w:rsidTr="00307697">
        <w:trPr>
          <w:cantSplit/>
          <w:trHeight w:val="233"/>
        </w:trPr>
        <w:tc>
          <w:tcPr>
            <w:tcW w:w="908" w:type="dxa"/>
          </w:tcPr>
          <w:p w14:paraId="19F1B3DA" w14:textId="77777777" w:rsidR="00341B21" w:rsidRPr="00E86669" w:rsidRDefault="00341B21" w:rsidP="00341B21">
            <w:pPr>
              <w:rPr>
                <w:sz w:val="22"/>
                <w:szCs w:val="22"/>
              </w:rPr>
            </w:pPr>
            <w:r>
              <w:rPr>
                <w:sz w:val="22"/>
                <w:szCs w:val="22"/>
              </w:rPr>
              <w:t>50</w:t>
            </w:r>
          </w:p>
        </w:tc>
        <w:tc>
          <w:tcPr>
            <w:tcW w:w="1255" w:type="dxa"/>
          </w:tcPr>
          <w:p w14:paraId="688D745B" w14:textId="77777777" w:rsidR="00341B21" w:rsidRPr="00E86669" w:rsidRDefault="00341B21" w:rsidP="00341B21">
            <w:pPr>
              <w:rPr>
                <w:sz w:val="22"/>
                <w:szCs w:val="22"/>
              </w:rPr>
            </w:pPr>
            <w:r>
              <w:rPr>
                <w:sz w:val="22"/>
                <w:szCs w:val="22"/>
              </w:rPr>
              <w:t>29-32</w:t>
            </w:r>
          </w:p>
        </w:tc>
        <w:tc>
          <w:tcPr>
            <w:tcW w:w="8025" w:type="dxa"/>
            <w:gridSpan w:val="2"/>
          </w:tcPr>
          <w:p w14:paraId="15B5AFD0" w14:textId="77777777" w:rsidR="00341B21" w:rsidRPr="00E86669" w:rsidRDefault="00341B21" w:rsidP="00341B21">
            <w:pPr>
              <w:rPr>
                <w:sz w:val="22"/>
                <w:szCs w:val="22"/>
              </w:rPr>
            </w:pPr>
            <w:r>
              <w:rPr>
                <w:sz w:val="22"/>
                <w:szCs w:val="22"/>
              </w:rPr>
              <w:t>The statement is not applicable to all engineered gene drive approaches (e.g. self-limiting/localised systems) and should be revised</w:t>
            </w:r>
          </w:p>
        </w:tc>
      </w:tr>
      <w:tr w:rsidR="00542EBE" w:rsidRPr="00E86669" w14:paraId="1DEAF111" w14:textId="77777777" w:rsidTr="00307697">
        <w:trPr>
          <w:cantSplit/>
          <w:trHeight w:val="233"/>
        </w:trPr>
        <w:tc>
          <w:tcPr>
            <w:tcW w:w="908" w:type="dxa"/>
          </w:tcPr>
          <w:p w14:paraId="1CE7C0E8" w14:textId="77777777" w:rsidR="00542EBE" w:rsidRPr="00E86669" w:rsidRDefault="00542EBE" w:rsidP="00542EBE">
            <w:pPr>
              <w:rPr>
                <w:sz w:val="22"/>
                <w:szCs w:val="22"/>
              </w:rPr>
            </w:pPr>
            <w:r>
              <w:rPr>
                <w:sz w:val="22"/>
                <w:szCs w:val="22"/>
              </w:rPr>
              <w:t>56</w:t>
            </w:r>
          </w:p>
        </w:tc>
        <w:tc>
          <w:tcPr>
            <w:tcW w:w="1255" w:type="dxa"/>
          </w:tcPr>
          <w:p w14:paraId="01E044E0" w14:textId="77777777" w:rsidR="00542EBE" w:rsidRPr="00E86669" w:rsidRDefault="00542EBE" w:rsidP="00542EBE">
            <w:pPr>
              <w:rPr>
                <w:sz w:val="22"/>
                <w:szCs w:val="22"/>
              </w:rPr>
            </w:pPr>
            <w:r>
              <w:rPr>
                <w:sz w:val="22"/>
                <w:szCs w:val="22"/>
              </w:rPr>
              <w:t>1-8</w:t>
            </w:r>
          </w:p>
        </w:tc>
        <w:tc>
          <w:tcPr>
            <w:tcW w:w="8025" w:type="dxa"/>
            <w:gridSpan w:val="2"/>
          </w:tcPr>
          <w:p w14:paraId="13BEE885" w14:textId="77777777" w:rsidR="00542EBE" w:rsidRPr="00E86669" w:rsidRDefault="00542EBE" w:rsidP="00542EBE">
            <w:pPr>
              <w:rPr>
                <w:sz w:val="22"/>
                <w:szCs w:val="22"/>
              </w:rPr>
            </w:pPr>
            <w:r>
              <w:rPr>
                <w:sz w:val="22"/>
                <w:szCs w:val="22"/>
              </w:rPr>
              <w:t>The flow of arguments given is challenging to follow/grasp. Plus, some of the statements made a rather vague/cryptic “different methods and techniques of synthetic biology may need different forms and levels of oversight” and thus not helpful</w:t>
            </w:r>
          </w:p>
        </w:tc>
      </w:tr>
      <w:tr w:rsidR="00AD22BF" w:rsidRPr="00E86669" w14:paraId="2B53188C" w14:textId="77777777" w:rsidTr="00307697">
        <w:trPr>
          <w:cantSplit/>
          <w:trHeight w:val="233"/>
        </w:trPr>
        <w:tc>
          <w:tcPr>
            <w:tcW w:w="908" w:type="dxa"/>
          </w:tcPr>
          <w:p w14:paraId="63D6F834" w14:textId="69A0E189" w:rsidR="00AD22BF" w:rsidRPr="00E86669" w:rsidRDefault="00AD22BF" w:rsidP="00AD22BF">
            <w:pPr>
              <w:rPr>
                <w:sz w:val="22"/>
                <w:szCs w:val="22"/>
              </w:rPr>
            </w:pPr>
            <w:r>
              <w:rPr>
                <w:sz w:val="22"/>
                <w:szCs w:val="22"/>
              </w:rPr>
              <w:t>56</w:t>
            </w:r>
          </w:p>
        </w:tc>
        <w:tc>
          <w:tcPr>
            <w:tcW w:w="1255" w:type="dxa"/>
          </w:tcPr>
          <w:p w14:paraId="48FCE078" w14:textId="0570D6E4" w:rsidR="00AD22BF" w:rsidRPr="00E86669" w:rsidRDefault="00E04E63" w:rsidP="00AD22BF">
            <w:pPr>
              <w:rPr>
                <w:sz w:val="22"/>
                <w:szCs w:val="22"/>
              </w:rPr>
            </w:pPr>
            <w:r>
              <w:rPr>
                <w:sz w:val="22"/>
                <w:szCs w:val="22"/>
              </w:rPr>
              <w:t>45</w:t>
            </w:r>
          </w:p>
        </w:tc>
        <w:tc>
          <w:tcPr>
            <w:tcW w:w="8025" w:type="dxa"/>
            <w:gridSpan w:val="2"/>
          </w:tcPr>
          <w:p w14:paraId="283C45EB" w14:textId="183A62FA" w:rsidR="00AD22BF" w:rsidRPr="00FA4010" w:rsidRDefault="006C0188" w:rsidP="006C0188">
            <w:r w:rsidRPr="00FA4010">
              <w:t>General comment on 6.1:</w:t>
            </w:r>
            <w:r w:rsidR="004E573F" w:rsidRPr="00FA4010">
              <w:rPr>
                <w:sz w:val="22"/>
                <w:szCs w:val="22"/>
              </w:rPr>
              <w:t xml:space="preserve">This section should be </w:t>
            </w:r>
            <w:r w:rsidRPr="00FA4010">
              <w:rPr>
                <w:sz w:val="22"/>
                <w:szCs w:val="22"/>
              </w:rPr>
              <w:t>improved</w:t>
            </w:r>
            <w:r w:rsidR="002B647E" w:rsidRPr="00FA4010">
              <w:rPr>
                <w:sz w:val="22"/>
                <w:szCs w:val="22"/>
              </w:rPr>
              <w:t xml:space="preserve"> and</w:t>
            </w:r>
            <w:r w:rsidRPr="00FA4010">
              <w:rPr>
                <w:sz w:val="22"/>
                <w:szCs w:val="22"/>
              </w:rPr>
              <w:t xml:space="preserve"> become more factual. The</w:t>
            </w:r>
            <w:r w:rsidRPr="00FA4010">
              <w:t xml:space="preserve"> section focuses only on gene drives, genome editing and RNA-based technologies and lacks any consideration on other Synbio applications that are relevant within this context. Please note that the two recent EFSA opinions  on synthetic biology plants (</w:t>
            </w:r>
            <w:hyperlink r:id="rId14" w:history="1">
              <w:r w:rsidRPr="00FA4010">
                <w:rPr>
                  <w:rStyle w:val="Hyperlink"/>
                </w:rPr>
                <w:t>https://www.efsa.europa.eu/en/efsajournal/pub/6301</w:t>
              </w:r>
            </w:hyperlink>
            <w:r w:rsidRPr="00FA4010">
              <w:t>) and microorganisms (</w:t>
            </w:r>
            <w:hyperlink r:id="rId15" w:history="1">
              <w:r w:rsidRPr="00FA4010">
                <w:rPr>
                  <w:rStyle w:val="Hyperlink"/>
                </w:rPr>
                <w:t>https://www.efsa.europa.eu/en/efsajournal/pub/6263</w:t>
              </w:r>
            </w:hyperlink>
            <w:r w:rsidRPr="00FA4010">
              <w:t>) cover a wider range of synbio products. The ones of microorganisms also include metabolic engineering and xenobionts. The practical examples there demonstrate more systematically and in detail the adequacy of risk assessment methodologies. We therefore recommend to expand the scope of section 6.1 to cover other relevant Synbio areas (e.g. xenobiology).</w:t>
            </w:r>
          </w:p>
        </w:tc>
      </w:tr>
      <w:tr w:rsidR="00B409BF" w:rsidRPr="00E86669" w14:paraId="21A5AFA3" w14:textId="77777777" w:rsidTr="00307697">
        <w:trPr>
          <w:cantSplit/>
          <w:trHeight w:val="233"/>
        </w:trPr>
        <w:tc>
          <w:tcPr>
            <w:tcW w:w="908" w:type="dxa"/>
          </w:tcPr>
          <w:p w14:paraId="74676019" w14:textId="77777777" w:rsidR="00B409BF" w:rsidRPr="00E86669" w:rsidRDefault="00B409BF" w:rsidP="00B409BF">
            <w:pPr>
              <w:rPr>
                <w:sz w:val="22"/>
                <w:szCs w:val="22"/>
              </w:rPr>
            </w:pPr>
            <w:r>
              <w:rPr>
                <w:sz w:val="22"/>
                <w:szCs w:val="22"/>
              </w:rPr>
              <w:lastRenderedPageBreak/>
              <w:t>57</w:t>
            </w:r>
          </w:p>
        </w:tc>
        <w:tc>
          <w:tcPr>
            <w:tcW w:w="1255" w:type="dxa"/>
          </w:tcPr>
          <w:p w14:paraId="3CDE8C7A" w14:textId="77777777" w:rsidR="00B409BF" w:rsidRPr="00E86669" w:rsidRDefault="00B409BF" w:rsidP="00B409BF">
            <w:pPr>
              <w:rPr>
                <w:sz w:val="22"/>
                <w:szCs w:val="22"/>
              </w:rPr>
            </w:pPr>
            <w:r>
              <w:rPr>
                <w:sz w:val="22"/>
                <w:szCs w:val="22"/>
              </w:rPr>
              <w:t>14-16</w:t>
            </w:r>
          </w:p>
        </w:tc>
        <w:tc>
          <w:tcPr>
            <w:tcW w:w="8025" w:type="dxa"/>
            <w:gridSpan w:val="2"/>
          </w:tcPr>
          <w:p w14:paraId="40C005A7" w14:textId="25999FB3" w:rsidR="00B409BF" w:rsidRPr="00FA4010" w:rsidRDefault="00B409BF" w:rsidP="00DD4B5A">
            <w:pPr>
              <w:rPr>
                <w:sz w:val="22"/>
                <w:szCs w:val="22"/>
              </w:rPr>
            </w:pPr>
            <w:r w:rsidRPr="00FA4010">
              <w:rPr>
                <w:sz w:val="22"/>
                <w:szCs w:val="22"/>
              </w:rPr>
              <w:t>It may be helpful to summarise these “novel risks” and “high levels of uncertainty” somewhere in the report (perhaps in a table), and compare them with relevant comparators (including systems). Moreover, this statement may not be applicable to all potential SynBio applications, so may benefit from being nuanced</w:t>
            </w:r>
            <w:r w:rsidR="00DD4B5A" w:rsidRPr="00FA4010">
              <w:rPr>
                <w:sz w:val="22"/>
                <w:szCs w:val="22"/>
              </w:rPr>
              <w:t>. Also the statement that these applications are challenging existing regulatory systems in an unprecedented fashion is very general and, as such, not supported by evidence.</w:t>
            </w:r>
          </w:p>
        </w:tc>
      </w:tr>
      <w:tr w:rsidR="00D35C89" w:rsidRPr="00E86669" w14:paraId="25C527ED" w14:textId="77777777" w:rsidTr="00307697">
        <w:trPr>
          <w:cantSplit/>
          <w:trHeight w:val="233"/>
        </w:trPr>
        <w:tc>
          <w:tcPr>
            <w:tcW w:w="908" w:type="dxa"/>
          </w:tcPr>
          <w:p w14:paraId="7F913602" w14:textId="77777777" w:rsidR="00D35C89" w:rsidRPr="00E86669" w:rsidRDefault="00D35C89" w:rsidP="00D35C89">
            <w:pPr>
              <w:rPr>
                <w:sz w:val="22"/>
                <w:szCs w:val="22"/>
              </w:rPr>
            </w:pPr>
            <w:r>
              <w:rPr>
                <w:sz w:val="22"/>
                <w:szCs w:val="22"/>
              </w:rPr>
              <w:t>57</w:t>
            </w:r>
          </w:p>
        </w:tc>
        <w:tc>
          <w:tcPr>
            <w:tcW w:w="1255" w:type="dxa"/>
          </w:tcPr>
          <w:p w14:paraId="00D1E53D" w14:textId="77777777" w:rsidR="00D35C89" w:rsidRPr="00E86669" w:rsidRDefault="00D35C89" w:rsidP="00D35C89">
            <w:pPr>
              <w:rPr>
                <w:sz w:val="22"/>
                <w:szCs w:val="22"/>
              </w:rPr>
            </w:pPr>
            <w:r>
              <w:rPr>
                <w:sz w:val="22"/>
                <w:szCs w:val="22"/>
              </w:rPr>
              <w:t>20-25</w:t>
            </w:r>
          </w:p>
        </w:tc>
        <w:tc>
          <w:tcPr>
            <w:tcW w:w="8025" w:type="dxa"/>
            <w:gridSpan w:val="2"/>
          </w:tcPr>
          <w:p w14:paraId="0F54080A" w14:textId="77777777" w:rsidR="00D35C89" w:rsidRPr="00FA4010" w:rsidRDefault="00D35C89" w:rsidP="00D35C89">
            <w:pPr>
              <w:rPr>
                <w:sz w:val="22"/>
                <w:szCs w:val="22"/>
              </w:rPr>
            </w:pPr>
            <w:r w:rsidRPr="00FA4010">
              <w:rPr>
                <w:sz w:val="22"/>
                <w:szCs w:val="22"/>
              </w:rPr>
              <w:t>The flow of arguments is challenging to follow. Moreover, the authors may wish to expand on the fact risks/potential for harm can be assessed in a relative (comparative) manner (and thus against an acceptable baseline) or in an absolute manner. The report tends to focus on the absolute risks, without addressing relative risk assessments</w:t>
            </w:r>
          </w:p>
        </w:tc>
      </w:tr>
      <w:tr w:rsidR="00465CCB" w:rsidRPr="00E86669" w14:paraId="44D694E1" w14:textId="77777777" w:rsidTr="00307697">
        <w:trPr>
          <w:cantSplit/>
          <w:trHeight w:val="233"/>
        </w:trPr>
        <w:tc>
          <w:tcPr>
            <w:tcW w:w="908" w:type="dxa"/>
          </w:tcPr>
          <w:p w14:paraId="7EB50320" w14:textId="77777777" w:rsidR="00465CCB" w:rsidRPr="00E86669" w:rsidRDefault="00465CCB" w:rsidP="00465CCB">
            <w:pPr>
              <w:rPr>
                <w:sz w:val="22"/>
                <w:szCs w:val="22"/>
              </w:rPr>
            </w:pPr>
            <w:r>
              <w:rPr>
                <w:sz w:val="22"/>
                <w:szCs w:val="22"/>
              </w:rPr>
              <w:t>57</w:t>
            </w:r>
          </w:p>
        </w:tc>
        <w:tc>
          <w:tcPr>
            <w:tcW w:w="1255" w:type="dxa"/>
          </w:tcPr>
          <w:p w14:paraId="0145D558" w14:textId="0B7AB40A" w:rsidR="00465CCB" w:rsidRPr="00E86669" w:rsidRDefault="00D35C89" w:rsidP="00465CCB">
            <w:pPr>
              <w:rPr>
                <w:sz w:val="22"/>
                <w:szCs w:val="22"/>
              </w:rPr>
            </w:pPr>
            <w:r>
              <w:rPr>
                <w:sz w:val="22"/>
                <w:szCs w:val="22"/>
              </w:rPr>
              <w:t>46</w:t>
            </w:r>
          </w:p>
        </w:tc>
        <w:tc>
          <w:tcPr>
            <w:tcW w:w="8025" w:type="dxa"/>
            <w:gridSpan w:val="2"/>
          </w:tcPr>
          <w:p w14:paraId="6F16480A" w14:textId="47C3445C" w:rsidR="00465CCB" w:rsidRPr="00FA4010" w:rsidRDefault="00D35C89" w:rsidP="00465CCB">
            <w:pPr>
              <w:rPr>
                <w:sz w:val="22"/>
                <w:szCs w:val="22"/>
              </w:rPr>
            </w:pPr>
            <w:r w:rsidRPr="00FA4010">
              <w:rPr>
                <w:sz w:val="22"/>
                <w:szCs w:val="22"/>
              </w:rPr>
              <w:t xml:space="preserve">The quality of this section could be further improved. </w:t>
            </w:r>
          </w:p>
        </w:tc>
      </w:tr>
      <w:tr w:rsidR="00293789" w:rsidRPr="00E86669" w14:paraId="6374CFB5" w14:textId="77777777" w:rsidTr="00293789">
        <w:trPr>
          <w:cantSplit/>
          <w:trHeight w:val="233"/>
        </w:trPr>
        <w:tc>
          <w:tcPr>
            <w:tcW w:w="908" w:type="dxa"/>
          </w:tcPr>
          <w:p w14:paraId="29F83692" w14:textId="77777777" w:rsidR="00293789" w:rsidRPr="00E86669" w:rsidRDefault="00293789" w:rsidP="00293789">
            <w:pPr>
              <w:rPr>
                <w:sz w:val="22"/>
                <w:szCs w:val="22"/>
              </w:rPr>
            </w:pPr>
            <w:r>
              <w:rPr>
                <w:sz w:val="22"/>
                <w:szCs w:val="22"/>
              </w:rPr>
              <w:t>57</w:t>
            </w:r>
          </w:p>
        </w:tc>
        <w:tc>
          <w:tcPr>
            <w:tcW w:w="1255" w:type="dxa"/>
          </w:tcPr>
          <w:p w14:paraId="32523F67" w14:textId="77777777" w:rsidR="00293789" w:rsidRPr="00E86669" w:rsidRDefault="00293789" w:rsidP="00293789">
            <w:pPr>
              <w:rPr>
                <w:sz w:val="22"/>
                <w:szCs w:val="22"/>
              </w:rPr>
            </w:pPr>
            <w:r>
              <w:rPr>
                <w:sz w:val="22"/>
                <w:szCs w:val="22"/>
              </w:rPr>
              <w:t>4-6</w:t>
            </w:r>
          </w:p>
        </w:tc>
        <w:tc>
          <w:tcPr>
            <w:tcW w:w="8025" w:type="dxa"/>
            <w:gridSpan w:val="2"/>
            <w:shd w:val="clear" w:color="auto" w:fill="auto"/>
          </w:tcPr>
          <w:p w14:paraId="18572D62" w14:textId="44D9204D" w:rsidR="00293789" w:rsidRPr="00FA4010" w:rsidRDefault="00293789" w:rsidP="00293789">
            <w:pPr>
              <w:rPr>
                <w:sz w:val="22"/>
                <w:szCs w:val="22"/>
              </w:rPr>
            </w:pPr>
            <w:r w:rsidRPr="00FA4010">
              <w:rPr>
                <w:sz w:val="22"/>
                <w:szCs w:val="22"/>
              </w:rPr>
              <w:t>We propose to replace ‘new risk assessment’ by ‘new risk assessment framework’.</w:t>
            </w:r>
          </w:p>
        </w:tc>
      </w:tr>
      <w:tr w:rsidR="00293789" w:rsidRPr="00E86669" w14:paraId="7F6A51B3" w14:textId="77777777" w:rsidTr="00293789">
        <w:trPr>
          <w:cantSplit/>
          <w:trHeight w:val="233"/>
        </w:trPr>
        <w:tc>
          <w:tcPr>
            <w:tcW w:w="908" w:type="dxa"/>
          </w:tcPr>
          <w:p w14:paraId="13513B0F" w14:textId="77777777" w:rsidR="00293789" w:rsidRPr="00E86669" w:rsidRDefault="00293789" w:rsidP="00293789">
            <w:pPr>
              <w:rPr>
                <w:sz w:val="22"/>
                <w:szCs w:val="22"/>
              </w:rPr>
            </w:pPr>
            <w:r>
              <w:rPr>
                <w:sz w:val="22"/>
                <w:szCs w:val="22"/>
              </w:rPr>
              <w:t>57</w:t>
            </w:r>
          </w:p>
        </w:tc>
        <w:tc>
          <w:tcPr>
            <w:tcW w:w="1255" w:type="dxa"/>
          </w:tcPr>
          <w:p w14:paraId="2E535BEF" w14:textId="77777777" w:rsidR="00293789" w:rsidRPr="00E86669" w:rsidRDefault="00293789" w:rsidP="00293789">
            <w:pPr>
              <w:rPr>
                <w:sz w:val="22"/>
                <w:szCs w:val="22"/>
              </w:rPr>
            </w:pPr>
            <w:r>
              <w:rPr>
                <w:sz w:val="22"/>
                <w:szCs w:val="22"/>
              </w:rPr>
              <w:t>12-13</w:t>
            </w:r>
          </w:p>
        </w:tc>
        <w:tc>
          <w:tcPr>
            <w:tcW w:w="8025" w:type="dxa"/>
            <w:gridSpan w:val="2"/>
            <w:shd w:val="clear" w:color="auto" w:fill="auto"/>
          </w:tcPr>
          <w:p w14:paraId="4EFA9D1D" w14:textId="77777777" w:rsidR="00293789" w:rsidRPr="00FA4010" w:rsidRDefault="00293789" w:rsidP="00293789">
            <w:pPr>
              <w:rPr>
                <w:sz w:val="22"/>
                <w:szCs w:val="22"/>
              </w:rPr>
            </w:pPr>
            <w:r w:rsidRPr="00FA4010">
              <w:rPr>
                <w:sz w:val="22"/>
                <w:szCs w:val="22"/>
              </w:rPr>
              <w:t xml:space="preserve">‘The process should include mechanisms that facilitate the effective engagement of stakeholders and help integrate these considerations within the overall decision-making process’ This would benefit from concrete examples where it has been successfully accomplished. </w:t>
            </w:r>
          </w:p>
        </w:tc>
      </w:tr>
      <w:tr w:rsidR="00293789" w:rsidRPr="00E86669" w14:paraId="372D1C09" w14:textId="77777777" w:rsidTr="00D478B8">
        <w:trPr>
          <w:cantSplit/>
          <w:trHeight w:val="233"/>
        </w:trPr>
        <w:tc>
          <w:tcPr>
            <w:tcW w:w="908" w:type="dxa"/>
          </w:tcPr>
          <w:p w14:paraId="2CCD3D02" w14:textId="77777777" w:rsidR="00293789" w:rsidRPr="00E86669" w:rsidRDefault="00293789" w:rsidP="00293789">
            <w:pPr>
              <w:rPr>
                <w:sz w:val="22"/>
                <w:szCs w:val="22"/>
              </w:rPr>
            </w:pPr>
            <w:r>
              <w:rPr>
                <w:sz w:val="22"/>
                <w:szCs w:val="22"/>
              </w:rPr>
              <w:t>57</w:t>
            </w:r>
          </w:p>
        </w:tc>
        <w:tc>
          <w:tcPr>
            <w:tcW w:w="1255" w:type="dxa"/>
          </w:tcPr>
          <w:p w14:paraId="58AA4EAA" w14:textId="77777777" w:rsidR="00293789" w:rsidRPr="00E86669" w:rsidRDefault="00293789" w:rsidP="00293789">
            <w:pPr>
              <w:rPr>
                <w:sz w:val="22"/>
                <w:szCs w:val="22"/>
              </w:rPr>
            </w:pPr>
            <w:r>
              <w:rPr>
                <w:sz w:val="22"/>
                <w:szCs w:val="22"/>
              </w:rPr>
              <w:t>30</w:t>
            </w:r>
          </w:p>
        </w:tc>
        <w:tc>
          <w:tcPr>
            <w:tcW w:w="8025" w:type="dxa"/>
            <w:gridSpan w:val="2"/>
          </w:tcPr>
          <w:p w14:paraId="1898C0E7" w14:textId="77777777" w:rsidR="00293789" w:rsidRPr="00FA4010" w:rsidRDefault="00293789" w:rsidP="00293789">
            <w:pPr>
              <w:rPr>
                <w:sz w:val="22"/>
                <w:szCs w:val="22"/>
              </w:rPr>
            </w:pPr>
            <w:r w:rsidRPr="00FA4010">
              <w:rPr>
                <w:sz w:val="22"/>
                <w:szCs w:val="22"/>
              </w:rPr>
              <w:t>Case. Add “case and its intended use”</w:t>
            </w:r>
          </w:p>
        </w:tc>
      </w:tr>
      <w:tr w:rsidR="00293789" w:rsidRPr="00C658CD" w14:paraId="52769B8D" w14:textId="77777777" w:rsidTr="00D478B8">
        <w:trPr>
          <w:cantSplit/>
          <w:trHeight w:val="233"/>
        </w:trPr>
        <w:tc>
          <w:tcPr>
            <w:tcW w:w="908" w:type="dxa"/>
          </w:tcPr>
          <w:p w14:paraId="58994EFF" w14:textId="77777777" w:rsidR="00293789" w:rsidRDefault="00293789" w:rsidP="00293789">
            <w:pPr>
              <w:rPr>
                <w:sz w:val="22"/>
                <w:szCs w:val="22"/>
              </w:rPr>
            </w:pPr>
            <w:r>
              <w:rPr>
                <w:sz w:val="22"/>
                <w:szCs w:val="22"/>
              </w:rPr>
              <w:t>57</w:t>
            </w:r>
          </w:p>
        </w:tc>
        <w:tc>
          <w:tcPr>
            <w:tcW w:w="1255" w:type="dxa"/>
          </w:tcPr>
          <w:p w14:paraId="0C7882A7" w14:textId="77777777" w:rsidR="00293789" w:rsidRDefault="00293789" w:rsidP="00293789">
            <w:pPr>
              <w:rPr>
                <w:sz w:val="22"/>
                <w:szCs w:val="22"/>
              </w:rPr>
            </w:pPr>
            <w:r>
              <w:rPr>
                <w:sz w:val="22"/>
                <w:szCs w:val="22"/>
              </w:rPr>
              <w:t>38</w:t>
            </w:r>
          </w:p>
        </w:tc>
        <w:tc>
          <w:tcPr>
            <w:tcW w:w="8025" w:type="dxa"/>
            <w:gridSpan w:val="2"/>
          </w:tcPr>
          <w:p w14:paraId="0638F75F" w14:textId="77777777" w:rsidR="00293789" w:rsidRPr="00FA4010" w:rsidRDefault="00293789" w:rsidP="00293789">
            <w:pPr>
              <w:rPr>
                <w:sz w:val="22"/>
                <w:szCs w:val="22"/>
              </w:rPr>
            </w:pPr>
            <w:r w:rsidRPr="00FA4010">
              <w:rPr>
                <w:sz w:val="22"/>
                <w:szCs w:val="22"/>
              </w:rPr>
              <w:t>Based in science, add “and based on scientific evidence that is available.”</w:t>
            </w:r>
          </w:p>
        </w:tc>
      </w:tr>
      <w:tr w:rsidR="00307697" w:rsidRPr="00E86669" w14:paraId="73340EE7" w14:textId="77777777" w:rsidTr="00307697">
        <w:trPr>
          <w:cantSplit/>
          <w:trHeight w:val="233"/>
        </w:trPr>
        <w:tc>
          <w:tcPr>
            <w:tcW w:w="908" w:type="dxa"/>
          </w:tcPr>
          <w:p w14:paraId="369006D0" w14:textId="77777777" w:rsidR="00307697" w:rsidRPr="00E86669" w:rsidRDefault="00307697" w:rsidP="00307697">
            <w:pPr>
              <w:rPr>
                <w:sz w:val="22"/>
                <w:szCs w:val="22"/>
              </w:rPr>
            </w:pPr>
            <w:r w:rsidRPr="00E86669">
              <w:rPr>
                <w:sz w:val="22"/>
                <w:szCs w:val="22"/>
              </w:rPr>
              <w:t>58</w:t>
            </w:r>
          </w:p>
        </w:tc>
        <w:tc>
          <w:tcPr>
            <w:tcW w:w="1255" w:type="dxa"/>
          </w:tcPr>
          <w:p w14:paraId="4E622700" w14:textId="47649A33" w:rsidR="00307697" w:rsidRPr="00E86669" w:rsidRDefault="00307697" w:rsidP="00307697">
            <w:pPr>
              <w:rPr>
                <w:sz w:val="22"/>
                <w:szCs w:val="22"/>
              </w:rPr>
            </w:pPr>
            <w:r>
              <w:rPr>
                <w:sz w:val="22"/>
                <w:szCs w:val="22"/>
              </w:rPr>
              <w:t>9</w:t>
            </w:r>
          </w:p>
        </w:tc>
        <w:tc>
          <w:tcPr>
            <w:tcW w:w="8025" w:type="dxa"/>
            <w:gridSpan w:val="2"/>
          </w:tcPr>
          <w:p w14:paraId="267F0D75" w14:textId="137D897A" w:rsidR="00307697" w:rsidRPr="00E86669" w:rsidRDefault="00307697" w:rsidP="00307697">
            <w:pPr>
              <w:rPr>
                <w:sz w:val="22"/>
                <w:szCs w:val="22"/>
              </w:rPr>
            </w:pPr>
            <w:r>
              <w:rPr>
                <w:sz w:val="22"/>
                <w:szCs w:val="22"/>
              </w:rPr>
              <w:t>Irreversibility is not applicable to all engineered gene drive applications</w:t>
            </w:r>
            <w:r w:rsidR="00A81908">
              <w:rPr>
                <w:sz w:val="22"/>
                <w:szCs w:val="22"/>
              </w:rPr>
              <w:t>, so this points needs to be nuanced</w:t>
            </w:r>
            <w:r>
              <w:rPr>
                <w:sz w:val="22"/>
                <w:szCs w:val="22"/>
              </w:rPr>
              <w:t xml:space="preserve">. Moreover, irreversibility </w:t>
            </w:r>
            <w:r w:rsidR="006C62C6">
              <w:rPr>
                <w:sz w:val="22"/>
                <w:szCs w:val="22"/>
              </w:rPr>
              <w:t>is likely to</w:t>
            </w:r>
            <w:r>
              <w:rPr>
                <w:sz w:val="22"/>
                <w:szCs w:val="22"/>
              </w:rPr>
              <w:t xml:space="preserve"> pose challenges for risk manage</w:t>
            </w:r>
            <w:r w:rsidR="00D60A6D">
              <w:rPr>
                <w:sz w:val="22"/>
                <w:szCs w:val="22"/>
              </w:rPr>
              <w:t>rs and decision makers but not necessarily risk assessors</w:t>
            </w:r>
          </w:p>
        </w:tc>
      </w:tr>
      <w:tr w:rsidR="00550FF1" w:rsidRPr="00E86669" w14:paraId="389CCD6B" w14:textId="77777777" w:rsidTr="00DB6F17">
        <w:trPr>
          <w:cantSplit/>
          <w:trHeight w:val="233"/>
        </w:trPr>
        <w:tc>
          <w:tcPr>
            <w:tcW w:w="908" w:type="dxa"/>
          </w:tcPr>
          <w:p w14:paraId="3DDCF766" w14:textId="77777777" w:rsidR="00550FF1" w:rsidRPr="00E86669" w:rsidRDefault="00550FF1" w:rsidP="00550FF1">
            <w:pPr>
              <w:rPr>
                <w:sz w:val="22"/>
                <w:szCs w:val="22"/>
              </w:rPr>
            </w:pPr>
            <w:r w:rsidRPr="00E86669">
              <w:rPr>
                <w:sz w:val="22"/>
                <w:szCs w:val="22"/>
              </w:rPr>
              <w:t>58</w:t>
            </w:r>
          </w:p>
        </w:tc>
        <w:tc>
          <w:tcPr>
            <w:tcW w:w="1255" w:type="dxa"/>
          </w:tcPr>
          <w:p w14:paraId="610BCE4F" w14:textId="77777777" w:rsidR="00550FF1" w:rsidRPr="00E86669" w:rsidRDefault="00550FF1" w:rsidP="00550FF1">
            <w:pPr>
              <w:rPr>
                <w:sz w:val="22"/>
                <w:szCs w:val="22"/>
              </w:rPr>
            </w:pPr>
            <w:r>
              <w:rPr>
                <w:sz w:val="22"/>
                <w:szCs w:val="22"/>
              </w:rPr>
              <w:t>10-12</w:t>
            </w:r>
          </w:p>
        </w:tc>
        <w:tc>
          <w:tcPr>
            <w:tcW w:w="8025" w:type="dxa"/>
            <w:gridSpan w:val="2"/>
          </w:tcPr>
          <w:p w14:paraId="1CF686C4" w14:textId="77777777" w:rsidR="00550FF1" w:rsidRPr="00E86669" w:rsidRDefault="00550FF1" w:rsidP="00550FF1">
            <w:pPr>
              <w:rPr>
                <w:sz w:val="22"/>
                <w:szCs w:val="22"/>
              </w:rPr>
            </w:pPr>
            <w:r>
              <w:rPr>
                <w:sz w:val="22"/>
                <w:szCs w:val="22"/>
              </w:rPr>
              <w:t>And what about spatial and temporal scale of spread of some gene drive modified organisms?</w:t>
            </w:r>
          </w:p>
        </w:tc>
      </w:tr>
      <w:tr w:rsidR="000C6F4F" w:rsidRPr="00E86669" w14:paraId="531E8CE6" w14:textId="77777777" w:rsidTr="00307697">
        <w:trPr>
          <w:cantSplit/>
          <w:trHeight w:val="233"/>
        </w:trPr>
        <w:tc>
          <w:tcPr>
            <w:tcW w:w="908" w:type="dxa"/>
          </w:tcPr>
          <w:p w14:paraId="21062A2B" w14:textId="77777777" w:rsidR="000C6F4F" w:rsidRPr="00E86669" w:rsidRDefault="000C6F4F" w:rsidP="000C6F4F">
            <w:pPr>
              <w:rPr>
                <w:sz w:val="22"/>
                <w:szCs w:val="22"/>
              </w:rPr>
            </w:pPr>
            <w:r w:rsidRPr="00E86669">
              <w:rPr>
                <w:sz w:val="22"/>
                <w:szCs w:val="22"/>
              </w:rPr>
              <w:t>58</w:t>
            </w:r>
          </w:p>
        </w:tc>
        <w:tc>
          <w:tcPr>
            <w:tcW w:w="1255" w:type="dxa"/>
          </w:tcPr>
          <w:p w14:paraId="048C732A" w14:textId="0D65835B" w:rsidR="000C6F4F" w:rsidRPr="00E86669" w:rsidRDefault="0083358E" w:rsidP="000C6F4F">
            <w:pPr>
              <w:rPr>
                <w:sz w:val="22"/>
                <w:szCs w:val="22"/>
              </w:rPr>
            </w:pPr>
            <w:r>
              <w:rPr>
                <w:sz w:val="22"/>
                <w:szCs w:val="22"/>
              </w:rPr>
              <w:t>1</w:t>
            </w:r>
            <w:r w:rsidR="00550FF1">
              <w:rPr>
                <w:sz w:val="22"/>
                <w:szCs w:val="22"/>
              </w:rPr>
              <w:t>6</w:t>
            </w:r>
            <w:r>
              <w:rPr>
                <w:sz w:val="22"/>
                <w:szCs w:val="22"/>
              </w:rPr>
              <w:t>-1</w:t>
            </w:r>
            <w:r w:rsidR="00550FF1">
              <w:rPr>
                <w:sz w:val="22"/>
                <w:szCs w:val="22"/>
              </w:rPr>
              <w:t>7</w:t>
            </w:r>
          </w:p>
        </w:tc>
        <w:tc>
          <w:tcPr>
            <w:tcW w:w="8025" w:type="dxa"/>
            <w:gridSpan w:val="2"/>
          </w:tcPr>
          <w:p w14:paraId="1B2AC6EF" w14:textId="6D6B7F78" w:rsidR="000C6F4F" w:rsidRPr="00E86669" w:rsidRDefault="00550FF1" w:rsidP="000C6F4F">
            <w:pPr>
              <w:rPr>
                <w:sz w:val="22"/>
                <w:szCs w:val="22"/>
              </w:rPr>
            </w:pPr>
            <w:r>
              <w:rPr>
                <w:sz w:val="22"/>
                <w:szCs w:val="22"/>
              </w:rPr>
              <w:t>It depends on the engineered gene drive systems so once again this statement should be nuanced</w:t>
            </w:r>
          </w:p>
        </w:tc>
      </w:tr>
      <w:tr w:rsidR="00051CC6" w:rsidRPr="00E86669" w14:paraId="41F2E51B" w14:textId="77777777" w:rsidTr="00307697">
        <w:trPr>
          <w:cantSplit/>
          <w:trHeight w:val="233"/>
        </w:trPr>
        <w:tc>
          <w:tcPr>
            <w:tcW w:w="908" w:type="dxa"/>
          </w:tcPr>
          <w:p w14:paraId="442EB451" w14:textId="77777777" w:rsidR="00051CC6" w:rsidRPr="00E86669" w:rsidRDefault="00051CC6" w:rsidP="00051CC6">
            <w:pPr>
              <w:rPr>
                <w:sz w:val="22"/>
                <w:szCs w:val="22"/>
              </w:rPr>
            </w:pPr>
            <w:r w:rsidRPr="00E86669">
              <w:rPr>
                <w:sz w:val="22"/>
                <w:szCs w:val="22"/>
              </w:rPr>
              <w:t>58</w:t>
            </w:r>
          </w:p>
        </w:tc>
        <w:tc>
          <w:tcPr>
            <w:tcW w:w="1255" w:type="dxa"/>
          </w:tcPr>
          <w:p w14:paraId="4EC85A85" w14:textId="77777777" w:rsidR="00051CC6" w:rsidRPr="00E86669" w:rsidRDefault="00051CC6" w:rsidP="00051CC6">
            <w:pPr>
              <w:rPr>
                <w:sz w:val="22"/>
                <w:szCs w:val="22"/>
              </w:rPr>
            </w:pPr>
            <w:r w:rsidRPr="00E86669">
              <w:rPr>
                <w:sz w:val="22"/>
                <w:szCs w:val="22"/>
              </w:rPr>
              <w:t>20</w:t>
            </w:r>
          </w:p>
        </w:tc>
        <w:tc>
          <w:tcPr>
            <w:tcW w:w="8025" w:type="dxa"/>
            <w:gridSpan w:val="2"/>
          </w:tcPr>
          <w:p w14:paraId="77458B03" w14:textId="77777777" w:rsidR="00051CC6" w:rsidRPr="00E86669" w:rsidRDefault="00051CC6" w:rsidP="00051CC6">
            <w:pPr>
              <w:rPr>
                <w:sz w:val="22"/>
                <w:szCs w:val="22"/>
              </w:rPr>
            </w:pPr>
            <w:r w:rsidRPr="00E86669">
              <w:rPr>
                <w:sz w:val="22"/>
                <w:szCs w:val="22"/>
              </w:rPr>
              <w:t xml:space="preserve">Please </w:t>
            </w:r>
            <w:r>
              <w:rPr>
                <w:sz w:val="22"/>
                <w:szCs w:val="22"/>
              </w:rPr>
              <w:t xml:space="preserve">correct </w:t>
            </w:r>
            <w:r w:rsidRPr="00E86669">
              <w:rPr>
                <w:sz w:val="22"/>
                <w:szCs w:val="22"/>
              </w:rPr>
              <w:t xml:space="preserve">the reference “ Naegeli et al., 2020” </w:t>
            </w:r>
            <w:r>
              <w:rPr>
                <w:sz w:val="22"/>
                <w:szCs w:val="22"/>
              </w:rPr>
              <w:t>as follows</w:t>
            </w:r>
            <w:r w:rsidRPr="00E86669">
              <w:rPr>
                <w:sz w:val="22"/>
                <w:szCs w:val="22"/>
              </w:rPr>
              <w:t xml:space="preserve"> “EFSA GMO Panel, 2020”</w:t>
            </w:r>
          </w:p>
        </w:tc>
      </w:tr>
      <w:tr w:rsidR="007036BC" w:rsidRPr="00E86669" w14:paraId="21744B57" w14:textId="77777777" w:rsidTr="00307697">
        <w:trPr>
          <w:cantSplit/>
          <w:trHeight w:val="233"/>
        </w:trPr>
        <w:tc>
          <w:tcPr>
            <w:tcW w:w="908" w:type="dxa"/>
          </w:tcPr>
          <w:p w14:paraId="181DB4CB" w14:textId="77777777" w:rsidR="007036BC" w:rsidRPr="00E86669" w:rsidRDefault="007036BC" w:rsidP="007036BC">
            <w:pPr>
              <w:rPr>
                <w:sz w:val="22"/>
                <w:szCs w:val="22"/>
              </w:rPr>
            </w:pPr>
            <w:r w:rsidRPr="00E86669">
              <w:rPr>
                <w:sz w:val="22"/>
                <w:szCs w:val="22"/>
              </w:rPr>
              <w:t>58</w:t>
            </w:r>
          </w:p>
        </w:tc>
        <w:tc>
          <w:tcPr>
            <w:tcW w:w="1255" w:type="dxa"/>
          </w:tcPr>
          <w:p w14:paraId="46AD8E63" w14:textId="77777777" w:rsidR="007036BC" w:rsidRPr="00E86669" w:rsidRDefault="007036BC" w:rsidP="007036BC">
            <w:pPr>
              <w:rPr>
                <w:sz w:val="22"/>
                <w:szCs w:val="22"/>
              </w:rPr>
            </w:pPr>
            <w:r>
              <w:rPr>
                <w:sz w:val="22"/>
                <w:szCs w:val="22"/>
              </w:rPr>
              <w:t>33-43</w:t>
            </w:r>
          </w:p>
        </w:tc>
        <w:tc>
          <w:tcPr>
            <w:tcW w:w="8025" w:type="dxa"/>
            <w:gridSpan w:val="2"/>
          </w:tcPr>
          <w:p w14:paraId="0B3C401D" w14:textId="24AECDF9" w:rsidR="007036BC" w:rsidRPr="00E86669" w:rsidRDefault="007036BC" w:rsidP="007036BC">
            <w:pPr>
              <w:rPr>
                <w:sz w:val="22"/>
                <w:szCs w:val="22"/>
              </w:rPr>
            </w:pPr>
            <w:r>
              <w:rPr>
                <w:sz w:val="22"/>
                <w:szCs w:val="22"/>
              </w:rPr>
              <w:t xml:space="preserve">Once more, very general </w:t>
            </w:r>
            <w:r w:rsidR="00F83178">
              <w:rPr>
                <w:sz w:val="22"/>
                <w:szCs w:val="22"/>
              </w:rPr>
              <w:t>statements</w:t>
            </w:r>
            <w:r>
              <w:rPr>
                <w:sz w:val="22"/>
                <w:szCs w:val="22"/>
              </w:rPr>
              <w:t xml:space="preserve"> that may not be applicable to all potential engineered gene drive applications</w:t>
            </w:r>
          </w:p>
        </w:tc>
      </w:tr>
      <w:tr w:rsidR="00912BE8" w:rsidRPr="00E86669" w14:paraId="20AAE6E9" w14:textId="77777777" w:rsidTr="00307697">
        <w:trPr>
          <w:cantSplit/>
          <w:trHeight w:val="233"/>
        </w:trPr>
        <w:tc>
          <w:tcPr>
            <w:tcW w:w="908" w:type="dxa"/>
          </w:tcPr>
          <w:p w14:paraId="0C5925EF" w14:textId="77777777" w:rsidR="00912BE8" w:rsidRPr="00E86669" w:rsidRDefault="00912BE8" w:rsidP="00912BE8">
            <w:pPr>
              <w:rPr>
                <w:sz w:val="22"/>
                <w:szCs w:val="22"/>
              </w:rPr>
            </w:pPr>
            <w:r w:rsidRPr="00E86669">
              <w:rPr>
                <w:sz w:val="22"/>
                <w:szCs w:val="22"/>
              </w:rPr>
              <w:t>58</w:t>
            </w:r>
          </w:p>
        </w:tc>
        <w:tc>
          <w:tcPr>
            <w:tcW w:w="1255" w:type="dxa"/>
          </w:tcPr>
          <w:p w14:paraId="5310F17A" w14:textId="77777777" w:rsidR="00912BE8" w:rsidRPr="00E86669" w:rsidRDefault="00912BE8" w:rsidP="00912BE8">
            <w:pPr>
              <w:rPr>
                <w:sz w:val="22"/>
                <w:szCs w:val="22"/>
              </w:rPr>
            </w:pPr>
            <w:r>
              <w:rPr>
                <w:sz w:val="22"/>
                <w:szCs w:val="22"/>
              </w:rPr>
              <w:t>37</w:t>
            </w:r>
          </w:p>
        </w:tc>
        <w:tc>
          <w:tcPr>
            <w:tcW w:w="8025" w:type="dxa"/>
            <w:gridSpan w:val="2"/>
          </w:tcPr>
          <w:p w14:paraId="4C0CC33D" w14:textId="77777777" w:rsidR="00912BE8" w:rsidRPr="00E86669" w:rsidRDefault="00912BE8" w:rsidP="00912BE8">
            <w:pPr>
              <w:rPr>
                <w:sz w:val="22"/>
                <w:szCs w:val="22"/>
              </w:rPr>
            </w:pPr>
            <w:r>
              <w:rPr>
                <w:sz w:val="22"/>
                <w:szCs w:val="22"/>
              </w:rPr>
              <w:t>Models are not only used for prediction purposes, but also to better understand the system under assessment</w:t>
            </w:r>
          </w:p>
        </w:tc>
      </w:tr>
      <w:tr w:rsidR="004457C3" w:rsidRPr="00E86669" w14:paraId="687AA316" w14:textId="77777777" w:rsidTr="00307697">
        <w:trPr>
          <w:cantSplit/>
          <w:trHeight w:val="233"/>
        </w:trPr>
        <w:tc>
          <w:tcPr>
            <w:tcW w:w="908" w:type="dxa"/>
          </w:tcPr>
          <w:p w14:paraId="743B1B9D" w14:textId="77777777" w:rsidR="004457C3" w:rsidRPr="00E86669" w:rsidRDefault="004457C3" w:rsidP="004457C3">
            <w:pPr>
              <w:rPr>
                <w:sz w:val="22"/>
                <w:szCs w:val="22"/>
              </w:rPr>
            </w:pPr>
            <w:r w:rsidRPr="00E86669">
              <w:rPr>
                <w:sz w:val="22"/>
                <w:szCs w:val="22"/>
              </w:rPr>
              <w:t>58</w:t>
            </w:r>
          </w:p>
        </w:tc>
        <w:tc>
          <w:tcPr>
            <w:tcW w:w="1255" w:type="dxa"/>
          </w:tcPr>
          <w:p w14:paraId="1A9F47A1" w14:textId="77777777" w:rsidR="004457C3" w:rsidRPr="00E86669" w:rsidRDefault="004457C3" w:rsidP="004457C3">
            <w:pPr>
              <w:rPr>
                <w:sz w:val="22"/>
                <w:szCs w:val="22"/>
              </w:rPr>
            </w:pPr>
            <w:r>
              <w:rPr>
                <w:sz w:val="22"/>
                <w:szCs w:val="22"/>
              </w:rPr>
              <w:t>38</w:t>
            </w:r>
          </w:p>
        </w:tc>
        <w:tc>
          <w:tcPr>
            <w:tcW w:w="8025" w:type="dxa"/>
            <w:gridSpan w:val="2"/>
          </w:tcPr>
          <w:p w14:paraId="6B8BAD0C" w14:textId="77777777" w:rsidR="004457C3" w:rsidRPr="00E86669" w:rsidRDefault="004457C3" w:rsidP="004457C3">
            <w:pPr>
              <w:rPr>
                <w:sz w:val="22"/>
                <w:szCs w:val="22"/>
              </w:rPr>
            </w:pPr>
            <w:r>
              <w:rPr>
                <w:sz w:val="22"/>
                <w:szCs w:val="22"/>
              </w:rPr>
              <w:t>What about self-limiting/localised engineered gene drives?</w:t>
            </w:r>
          </w:p>
        </w:tc>
      </w:tr>
      <w:tr w:rsidR="00147A38" w:rsidRPr="00E86669" w14:paraId="5F53A037" w14:textId="77777777" w:rsidTr="00307697">
        <w:trPr>
          <w:cantSplit/>
          <w:trHeight w:val="233"/>
        </w:trPr>
        <w:tc>
          <w:tcPr>
            <w:tcW w:w="908" w:type="dxa"/>
          </w:tcPr>
          <w:p w14:paraId="34E12C0F" w14:textId="77777777" w:rsidR="00147A38" w:rsidRPr="00E86669" w:rsidRDefault="00147A38" w:rsidP="00147A38">
            <w:pPr>
              <w:rPr>
                <w:sz w:val="22"/>
                <w:szCs w:val="22"/>
              </w:rPr>
            </w:pPr>
            <w:r w:rsidRPr="00E86669">
              <w:rPr>
                <w:sz w:val="22"/>
                <w:szCs w:val="22"/>
              </w:rPr>
              <w:t>58</w:t>
            </w:r>
          </w:p>
        </w:tc>
        <w:tc>
          <w:tcPr>
            <w:tcW w:w="1255" w:type="dxa"/>
          </w:tcPr>
          <w:p w14:paraId="3D64034E" w14:textId="77777777" w:rsidR="00147A38" w:rsidRPr="00E86669" w:rsidRDefault="00147A38" w:rsidP="00147A38">
            <w:pPr>
              <w:rPr>
                <w:sz w:val="22"/>
                <w:szCs w:val="22"/>
              </w:rPr>
            </w:pPr>
            <w:r>
              <w:rPr>
                <w:sz w:val="22"/>
                <w:szCs w:val="22"/>
              </w:rPr>
              <w:t>42-43</w:t>
            </w:r>
          </w:p>
        </w:tc>
        <w:tc>
          <w:tcPr>
            <w:tcW w:w="8025" w:type="dxa"/>
            <w:gridSpan w:val="2"/>
          </w:tcPr>
          <w:p w14:paraId="40DFA898" w14:textId="77777777" w:rsidR="00147A38" w:rsidRPr="00E86669" w:rsidRDefault="00147A38" w:rsidP="00147A38">
            <w:pPr>
              <w:rPr>
                <w:sz w:val="22"/>
                <w:szCs w:val="22"/>
              </w:rPr>
            </w:pPr>
            <w:r>
              <w:rPr>
                <w:sz w:val="22"/>
                <w:szCs w:val="22"/>
              </w:rPr>
              <w:t xml:space="preserve">This statement is too general to be helpful – further ecological work on what, and for what purpose? </w:t>
            </w:r>
          </w:p>
        </w:tc>
      </w:tr>
      <w:tr w:rsidR="004D70BF" w:rsidRPr="00E86669" w14:paraId="3AA75218" w14:textId="77777777" w:rsidTr="00307697">
        <w:trPr>
          <w:cantSplit/>
          <w:trHeight w:val="233"/>
        </w:trPr>
        <w:tc>
          <w:tcPr>
            <w:tcW w:w="908" w:type="dxa"/>
          </w:tcPr>
          <w:p w14:paraId="44FED95D" w14:textId="236FB171" w:rsidR="004D70BF" w:rsidRPr="00E86669" w:rsidRDefault="004D70BF" w:rsidP="00147A38">
            <w:pPr>
              <w:rPr>
                <w:sz w:val="22"/>
                <w:szCs w:val="22"/>
              </w:rPr>
            </w:pPr>
            <w:r>
              <w:rPr>
                <w:sz w:val="22"/>
                <w:szCs w:val="22"/>
              </w:rPr>
              <w:t>59</w:t>
            </w:r>
          </w:p>
        </w:tc>
        <w:tc>
          <w:tcPr>
            <w:tcW w:w="1255" w:type="dxa"/>
          </w:tcPr>
          <w:p w14:paraId="7FE5A045" w14:textId="370A0945" w:rsidR="004D70BF" w:rsidRDefault="004D70BF" w:rsidP="00147A38">
            <w:pPr>
              <w:rPr>
                <w:sz w:val="22"/>
                <w:szCs w:val="22"/>
              </w:rPr>
            </w:pPr>
            <w:r>
              <w:rPr>
                <w:sz w:val="22"/>
                <w:szCs w:val="22"/>
              </w:rPr>
              <w:t>13</w:t>
            </w:r>
          </w:p>
        </w:tc>
        <w:tc>
          <w:tcPr>
            <w:tcW w:w="8025" w:type="dxa"/>
            <w:gridSpan w:val="2"/>
          </w:tcPr>
          <w:p w14:paraId="27426EF4" w14:textId="5C7D7424" w:rsidR="004D70BF" w:rsidRDefault="004D70BF" w:rsidP="004D70BF">
            <w:pPr>
              <w:rPr>
                <w:sz w:val="22"/>
                <w:szCs w:val="22"/>
              </w:rPr>
            </w:pPr>
            <w:r>
              <w:rPr>
                <w:sz w:val="22"/>
                <w:szCs w:val="22"/>
              </w:rPr>
              <w:t>Reference to Court of Justice of the EU, 2018 is not related to the context.</w:t>
            </w:r>
          </w:p>
        </w:tc>
      </w:tr>
      <w:tr w:rsidR="00804F3C" w:rsidRPr="00804F3C" w14:paraId="2A41487B" w14:textId="77777777" w:rsidTr="00804F3C">
        <w:trPr>
          <w:cantSplit/>
          <w:trHeight w:val="233"/>
        </w:trPr>
        <w:tc>
          <w:tcPr>
            <w:tcW w:w="908" w:type="dxa"/>
            <w:shd w:val="clear" w:color="auto" w:fill="auto"/>
          </w:tcPr>
          <w:p w14:paraId="57A719CE" w14:textId="77777777" w:rsidR="00804F3C" w:rsidRPr="00804F3C" w:rsidRDefault="00804F3C" w:rsidP="00804F3C">
            <w:pPr>
              <w:rPr>
                <w:bCs/>
                <w:sz w:val="22"/>
                <w:szCs w:val="22"/>
              </w:rPr>
            </w:pPr>
            <w:r w:rsidRPr="00804F3C">
              <w:rPr>
                <w:bCs/>
                <w:sz w:val="22"/>
                <w:szCs w:val="22"/>
              </w:rPr>
              <w:t>59</w:t>
            </w:r>
          </w:p>
        </w:tc>
        <w:tc>
          <w:tcPr>
            <w:tcW w:w="1255" w:type="dxa"/>
            <w:shd w:val="clear" w:color="auto" w:fill="auto"/>
          </w:tcPr>
          <w:p w14:paraId="4095DB89" w14:textId="77777777" w:rsidR="00804F3C" w:rsidRPr="00804F3C" w:rsidRDefault="00804F3C" w:rsidP="00804F3C">
            <w:pPr>
              <w:rPr>
                <w:bCs/>
                <w:sz w:val="22"/>
                <w:szCs w:val="22"/>
              </w:rPr>
            </w:pPr>
            <w:r w:rsidRPr="00804F3C">
              <w:rPr>
                <w:bCs/>
                <w:sz w:val="22"/>
                <w:szCs w:val="22"/>
              </w:rPr>
              <w:t>29</w:t>
            </w:r>
          </w:p>
        </w:tc>
        <w:tc>
          <w:tcPr>
            <w:tcW w:w="8025" w:type="dxa"/>
            <w:gridSpan w:val="2"/>
            <w:shd w:val="clear" w:color="auto" w:fill="auto"/>
          </w:tcPr>
          <w:p w14:paraId="5013FF98" w14:textId="77777777" w:rsidR="00804F3C" w:rsidRPr="00804F3C" w:rsidRDefault="00804F3C" w:rsidP="00804F3C">
            <w:pPr>
              <w:rPr>
                <w:bCs/>
                <w:sz w:val="22"/>
                <w:szCs w:val="22"/>
              </w:rPr>
            </w:pPr>
            <w:r w:rsidRPr="00804F3C">
              <w:rPr>
                <w:bCs/>
                <w:sz w:val="22"/>
                <w:szCs w:val="22"/>
              </w:rPr>
              <w:t>Add citation for EFSA GMO Panel opinion on SDN 1, 2 and ODM. Not in reference list or in the text.</w:t>
            </w:r>
          </w:p>
        </w:tc>
      </w:tr>
      <w:tr w:rsidR="00804F3C" w:rsidRPr="00804F3C" w14:paraId="5A708AB7" w14:textId="77777777" w:rsidTr="00804F3C">
        <w:trPr>
          <w:cantSplit/>
          <w:trHeight w:val="233"/>
        </w:trPr>
        <w:tc>
          <w:tcPr>
            <w:tcW w:w="908" w:type="dxa"/>
            <w:shd w:val="clear" w:color="auto" w:fill="auto"/>
          </w:tcPr>
          <w:p w14:paraId="25865D7E" w14:textId="77777777" w:rsidR="00804F3C" w:rsidRPr="00804F3C" w:rsidRDefault="00804F3C" w:rsidP="00804F3C">
            <w:pPr>
              <w:rPr>
                <w:bCs/>
                <w:sz w:val="22"/>
                <w:szCs w:val="22"/>
              </w:rPr>
            </w:pPr>
            <w:r w:rsidRPr="00804F3C">
              <w:rPr>
                <w:bCs/>
                <w:sz w:val="22"/>
                <w:szCs w:val="22"/>
              </w:rPr>
              <w:t>59</w:t>
            </w:r>
          </w:p>
        </w:tc>
        <w:tc>
          <w:tcPr>
            <w:tcW w:w="1255" w:type="dxa"/>
            <w:shd w:val="clear" w:color="auto" w:fill="auto"/>
          </w:tcPr>
          <w:p w14:paraId="2EBD7734" w14:textId="77777777" w:rsidR="00804F3C" w:rsidRPr="00804F3C" w:rsidRDefault="00804F3C" w:rsidP="00804F3C">
            <w:pPr>
              <w:rPr>
                <w:bCs/>
                <w:sz w:val="22"/>
                <w:szCs w:val="22"/>
              </w:rPr>
            </w:pPr>
            <w:r w:rsidRPr="00804F3C">
              <w:rPr>
                <w:bCs/>
                <w:sz w:val="22"/>
                <w:szCs w:val="22"/>
              </w:rPr>
              <w:t>7-8</w:t>
            </w:r>
          </w:p>
        </w:tc>
        <w:tc>
          <w:tcPr>
            <w:tcW w:w="8025" w:type="dxa"/>
            <w:gridSpan w:val="2"/>
            <w:shd w:val="clear" w:color="auto" w:fill="auto"/>
          </w:tcPr>
          <w:p w14:paraId="3592C3DB" w14:textId="77777777" w:rsidR="00804F3C" w:rsidRPr="00804F3C" w:rsidRDefault="00804F3C" w:rsidP="00804F3C">
            <w:pPr>
              <w:rPr>
                <w:bCs/>
                <w:sz w:val="22"/>
                <w:szCs w:val="22"/>
              </w:rPr>
            </w:pPr>
            <w:r w:rsidRPr="00804F3C">
              <w:rPr>
                <w:bCs/>
                <w:sz w:val="22"/>
                <w:szCs w:val="22"/>
              </w:rPr>
              <w:t xml:space="preserve">Proposed citation to add/consider: EFSA GMO panel scientific opinion on SynBio plants discusses the potential off target effect in genome edited synbio plants, based on case studies. </w:t>
            </w:r>
          </w:p>
        </w:tc>
      </w:tr>
      <w:tr w:rsidR="00293789" w:rsidRPr="00C658CD" w14:paraId="28321DD6" w14:textId="77777777" w:rsidTr="00D478B8">
        <w:trPr>
          <w:cantSplit/>
          <w:trHeight w:val="233"/>
        </w:trPr>
        <w:tc>
          <w:tcPr>
            <w:tcW w:w="908" w:type="dxa"/>
          </w:tcPr>
          <w:p w14:paraId="439DBE12" w14:textId="77777777" w:rsidR="00293789" w:rsidRDefault="00293789" w:rsidP="00293789">
            <w:pPr>
              <w:rPr>
                <w:sz w:val="22"/>
                <w:szCs w:val="22"/>
              </w:rPr>
            </w:pPr>
            <w:r>
              <w:rPr>
                <w:sz w:val="22"/>
                <w:szCs w:val="22"/>
              </w:rPr>
              <w:t>59</w:t>
            </w:r>
          </w:p>
        </w:tc>
        <w:tc>
          <w:tcPr>
            <w:tcW w:w="1255" w:type="dxa"/>
          </w:tcPr>
          <w:p w14:paraId="15919800" w14:textId="77777777" w:rsidR="00293789" w:rsidRDefault="00293789" w:rsidP="00293789">
            <w:pPr>
              <w:rPr>
                <w:sz w:val="22"/>
                <w:szCs w:val="22"/>
              </w:rPr>
            </w:pPr>
            <w:r>
              <w:rPr>
                <w:sz w:val="22"/>
                <w:szCs w:val="22"/>
              </w:rPr>
              <w:t>25-41</w:t>
            </w:r>
          </w:p>
        </w:tc>
        <w:tc>
          <w:tcPr>
            <w:tcW w:w="8025" w:type="dxa"/>
            <w:gridSpan w:val="2"/>
          </w:tcPr>
          <w:p w14:paraId="0D80FB37" w14:textId="4224C799" w:rsidR="00293789" w:rsidRDefault="00293789" w:rsidP="00293789">
            <w:pPr>
              <w:rPr>
                <w:sz w:val="22"/>
                <w:szCs w:val="22"/>
              </w:rPr>
            </w:pPr>
            <w:r>
              <w:rPr>
                <w:sz w:val="22"/>
                <w:szCs w:val="22"/>
              </w:rPr>
              <w:t xml:space="preserve">Parties may also have specific guidance. Consider to add the references, differentiating the levels of data requirements. </w:t>
            </w:r>
          </w:p>
        </w:tc>
      </w:tr>
      <w:tr w:rsidR="00804F3C" w:rsidRPr="00804F3C" w14:paraId="2A232FEF" w14:textId="77777777" w:rsidTr="00804F3C">
        <w:trPr>
          <w:cantSplit/>
          <w:trHeight w:val="233"/>
        </w:trPr>
        <w:tc>
          <w:tcPr>
            <w:tcW w:w="908" w:type="dxa"/>
            <w:shd w:val="clear" w:color="auto" w:fill="auto"/>
          </w:tcPr>
          <w:p w14:paraId="2A86665F" w14:textId="77777777" w:rsidR="00804F3C" w:rsidRPr="00804F3C" w:rsidRDefault="00804F3C" w:rsidP="00804F3C">
            <w:pPr>
              <w:rPr>
                <w:bCs/>
                <w:sz w:val="22"/>
                <w:szCs w:val="22"/>
              </w:rPr>
            </w:pPr>
            <w:r w:rsidRPr="00804F3C">
              <w:rPr>
                <w:bCs/>
                <w:sz w:val="22"/>
                <w:szCs w:val="22"/>
              </w:rPr>
              <w:t>60</w:t>
            </w:r>
          </w:p>
        </w:tc>
        <w:tc>
          <w:tcPr>
            <w:tcW w:w="1255" w:type="dxa"/>
            <w:shd w:val="clear" w:color="auto" w:fill="auto"/>
          </w:tcPr>
          <w:p w14:paraId="011226D4" w14:textId="77777777" w:rsidR="00804F3C" w:rsidRPr="00804F3C" w:rsidRDefault="00804F3C" w:rsidP="00804F3C">
            <w:pPr>
              <w:rPr>
                <w:bCs/>
                <w:sz w:val="22"/>
                <w:szCs w:val="22"/>
              </w:rPr>
            </w:pPr>
            <w:r w:rsidRPr="00804F3C">
              <w:rPr>
                <w:bCs/>
                <w:sz w:val="22"/>
                <w:szCs w:val="22"/>
              </w:rPr>
              <w:t>Line 7; Section 6.1.3</w:t>
            </w:r>
          </w:p>
        </w:tc>
        <w:tc>
          <w:tcPr>
            <w:tcW w:w="8025" w:type="dxa"/>
            <w:gridSpan w:val="2"/>
            <w:shd w:val="clear" w:color="auto" w:fill="auto"/>
          </w:tcPr>
          <w:p w14:paraId="30683E1A" w14:textId="77777777" w:rsidR="00804F3C" w:rsidRPr="00804F3C" w:rsidRDefault="00804F3C" w:rsidP="00804F3C">
            <w:pPr>
              <w:rPr>
                <w:bCs/>
                <w:sz w:val="22"/>
                <w:szCs w:val="22"/>
              </w:rPr>
            </w:pPr>
            <w:r w:rsidRPr="00804F3C">
              <w:rPr>
                <w:bCs/>
                <w:sz w:val="22"/>
                <w:szCs w:val="22"/>
              </w:rPr>
              <w:t>EFSA GMO panel has published in 2017 a guiding note on the assessment of RNAi off targets in plants and a review of it’s activities (including several scientific opinions) on the risk assessment of GM plants based on RNAi. This recent work could be cited in this section, with reference to the EFSA scientific opinions for recently commercialized maize and soybean GM plants, as well as the external reports reviewing the state of the art for MC, FF, ERA (Paces 2017, Davalos 2019 and Christeans 2018)</w:t>
            </w:r>
          </w:p>
        </w:tc>
      </w:tr>
      <w:tr w:rsidR="00AD22BF" w:rsidRPr="00E86669" w14:paraId="3885D597" w14:textId="77777777" w:rsidTr="00307697">
        <w:trPr>
          <w:cantSplit/>
          <w:trHeight w:val="233"/>
        </w:trPr>
        <w:tc>
          <w:tcPr>
            <w:tcW w:w="908" w:type="dxa"/>
          </w:tcPr>
          <w:p w14:paraId="50427EC2" w14:textId="151348F8" w:rsidR="00AD22BF" w:rsidRPr="00E86669" w:rsidRDefault="00147A38" w:rsidP="00AD22BF">
            <w:pPr>
              <w:rPr>
                <w:sz w:val="22"/>
                <w:szCs w:val="22"/>
              </w:rPr>
            </w:pPr>
            <w:r>
              <w:rPr>
                <w:sz w:val="22"/>
                <w:szCs w:val="22"/>
              </w:rPr>
              <w:t>60</w:t>
            </w:r>
          </w:p>
        </w:tc>
        <w:tc>
          <w:tcPr>
            <w:tcW w:w="1255" w:type="dxa"/>
          </w:tcPr>
          <w:p w14:paraId="2205C56D" w14:textId="64CAE408" w:rsidR="00AD22BF" w:rsidRPr="00E86669" w:rsidRDefault="000951C7" w:rsidP="00AD22BF">
            <w:pPr>
              <w:rPr>
                <w:sz w:val="22"/>
                <w:szCs w:val="22"/>
              </w:rPr>
            </w:pPr>
            <w:r>
              <w:rPr>
                <w:sz w:val="22"/>
                <w:szCs w:val="22"/>
              </w:rPr>
              <w:t>3</w:t>
            </w:r>
          </w:p>
        </w:tc>
        <w:tc>
          <w:tcPr>
            <w:tcW w:w="8025" w:type="dxa"/>
            <w:gridSpan w:val="2"/>
          </w:tcPr>
          <w:p w14:paraId="52739E1E" w14:textId="746DAEC7" w:rsidR="00AD22BF" w:rsidRPr="00E86669" w:rsidRDefault="00FB517D" w:rsidP="00AD22BF">
            <w:pPr>
              <w:rPr>
                <w:sz w:val="22"/>
                <w:szCs w:val="22"/>
              </w:rPr>
            </w:pPr>
            <w:r>
              <w:rPr>
                <w:sz w:val="22"/>
                <w:szCs w:val="22"/>
              </w:rPr>
              <w:t xml:space="preserve">Only a fraction of relevant publications are cited – many more relevant </w:t>
            </w:r>
            <w:r w:rsidR="00C03A8A">
              <w:rPr>
                <w:sz w:val="22"/>
                <w:szCs w:val="22"/>
              </w:rPr>
              <w:t>papers</w:t>
            </w:r>
            <w:r>
              <w:rPr>
                <w:sz w:val="22"/>
                <w:szCs w:val="22"/>
              </w:rPr>
              <w:t xml:space="preserve"> (including more recent ones) ha</w:t>
            </w:r>
            <w:r w:rsidR="00C03A8A">
              <w:rPr>
                <w:sz w:val="22"/>
                <w:szCs w:val="22"/>
              </w:rPr>
              <w:t>ve been published in the scientific literature</w:t>
            </w:r>
          </w:p>
        </w:tc>
      </w:tr>
      <w:tr w:rsidR="007429E5" w:rsidRPr="00E86669" w14:paraId="191037E7" w14:textId="77777777" w:rsidTr="00307697">
        <w:trPr>
          <w:cantSplit/>
          <w:trHeight w:val="233"/>
        </w:trPr>
        <w:tc>
          <w:tcPr>
            <w:tcW w:w="908" w:type="dxa"/>
          </w:tcPr>
          <w:p w14:paraId="33DC1990" w14:textId="3371704B" w:rsidR="007429E5" w:rsidRDefault="007429E5" w:rsidP="00AD22BF">
            <w:pPr>
              <w:rPr>
                <w:sz w:val="22"/>
                <w:szCs w:val="22"/>
              </w:rPr>
            </w:pPr>
            <w:r>
              <w:rPr>
                <w:sz w:val="22"/>
                <w:szCs w:val="22"/>
              </w:rPr>
              <w:t>61</w:t>
            </w:r>
          </w:p>
        </w:tc>
        <w:tc>
          <w:tcPr>
            <w:tcW w:w="1255" w:type="dxa"/>
          </w:tcPr>
          <w:p w14:paraId="1DCD8181" w14:textId="4DCE77C2" w:rsidR="007429E5" w:rsidRDefault="000A3571" w:rsidP="00AD22BF">
            <w:pPr>
              <w:rPr>
                <w:sz w:val="22"/>
                <w:szCs w:val="22"/>
              </w:rPr>
            </w:pPr>
            <w:r>
              <w:rPr>
                <w:sz w:val="22"/>
                <w:szCs w:val="22"/>
              </w:rPr>
              <w:t>29</w:t>
            </w:r>
          </w:p>
        </w:tc>
        <w:tc>
          <w:tcPr>
            <w:tcW w:w="8025" w:type="dxa"/>
            <w:gridSpan w:val="2"/>
          </w:tcPr>
          <w:p w14:paraId="6FEE03AF" w14:textId="1C5C69F1" w:rsidR="007429E5" w:rsidRDefault="000A3571" w:rsidP="00AD22BF">
            <w:pPr>
              <w:rPr>
                <w:sz w:val="22"/>
                <w:szCs w:val="22"/>
              </w:rPr>
            </w:pPr>
            <w:r>
              <w:rPr>
                <w:sz w:val="22"/>
                <w:szCs w:val="22"/>
              </w:rPr>
              <w:t>Post-release/market environmental monitoring could be addressed</w:t>
            </w:r>
            <w:r w:rsidR="00845327">
              <w:rPr>
                <w:sz w:val="22"/>
                <w:szCs w:val="22"/>
              </w:rPr>
              <w:t xml:space="preserve"> as additional risk management strategy</w:t>
            </w:r>
          </w:p>
        </w:tc>
      </w:tr>
      <w:tr w:rsidR="00DB6F17" w:rsidRPr="00E86669" w14:paraId="3831292C" w14:textId="77777777" w:rsidTr="00307697">
        <w:trPr>
          <w:cantSplit/>
          <w:trHeight w:val="233"/>
        </w:trPr>
        <w:tc>
          <w:tcPr>
            <w:tcW w:w="908" w:type="dxa"/>
          </w:tcPr>
          <w:p w14:paraId="09B2BBC6" w14:textId="55E362AF" w:rsidR="00DB6F17" w:rsidRDefault="00DB6F17" w:rsidP="00AD22BF">
            <w:pPr>
              <w:rPr>
                <w:sz w:val="22"/>
                <w:szCs w:val="22"/>
              </w:rPr>
            </w:pPr>
            <w:r>
              <w:rPr>
                <w:sz w:val="22"/>
                <w:szCs w:val="22"/>
              </w:rPr>
              <w:lastRenderedPageBreak/>
              <w:t>64</w:t>
            </w:r>
          </w:p>
        </w:tc>
        <w:tc>
          <w:tcPr>
            <w:tcW w:w="1255" w:type="dxa"/>
          </w:tcPr>
          <w:p w14:paraId="28DA5214" w14:textId="70CE80C0" w:rsidR="00DB6F17" w:rsidRDefault="00DB6F17" w:rsidP="00AD22BF">
            <w:pPr>
              <w:rPr>
                <w:sz w:val="22"/>
                <w:szCs w:val="22"/>
              </w:rPr>
            </w:pPr>
            <w:r>
              <w:rPr>
                <w:sz w:val="22"/>
                <w:szCs w:val="22"/>
              </w:rPr>
              <w:t>30-31</w:t>
            </w:r>
          </w:p>
        </w:tc>
        <w:tc>
          <w:tcPr>
            <w:tcW w:w="8025" w:type="dxa"/>
            <w:gridSpan w:val="2"/>
          </w:tcPr>
          <w:p w14:paraId="5A8B971D" w14:textId="09575800" w:rsidR="00DB6F17" w:rsidRDefault="00664133" w:rsidP="00DB6F17">
            <w:pPr>
              <w:rPr>
                <w:sz w:val="22"/>
                <w:szCs w:val="22"/>
              </w:rPr>
            </w:pPr>
            <w:r>
              <w:rPr>
                <w:sz w:val="22"/>
                <w:szCs w:val="22"/>
              </w:rPr>
              <w:t>The potential of the method cited here is controversial.</w:t>
            </w:r>
            <w:r w:rsidR="00DB6F17">
              <w:rPr>
                <w:sz w:val="22"/>
                <w:szCs w:val="22"/>
              </w:rPr>
              <w:t xml:space="preserve"> The European Network of GMO Laboratories </w:t>
            </w:r>
            <w:r>
              <w:rPr>
                <w:sz w:val="22"/>
                <w:szCs w:val="22"/>
              </w:rPr>
              <w:t xml:space="preserve">(ENGL, 2/10/2020) </w:t>
            </w:r>
            <w:r w:rsidR="00DB6F17">
              <w:rPr>
                <w:sz w:val="22"/>
                <w:szCs w:val="22"/>
              </w:rPr>
              <w:t>concluded that “a</w:t>
            </w:r>
            <w:r w:rsidR="00DB6F17" w:rsidRPr="00DB6F17">
              <w:rPr>
                <w:sz w:val="22"/>
                <w:szCs w:val="22"/>
              </w:rPr>
              <w:t>s the method thus do</w:t>
            </w:r>
            <w:r w:rsidR="00DB6F17">
              <w:rPr>
                <w:sz w:val="22"/>
                <w:szCs w:val="22"/>
              </w:rPr>
              <w:t>es not allow to distinguish single nucleotide variants</w:t>
            </w:r>
            <w:r w:rsidR="00DB6F17" w:rsidRPr="00DB6F17">
              <w:rPr>
                <w:sz w:val="22"/>
                <w:szCs w:val="22"/>
              </w:rPr>
              <w:t xml:space="preserve"> generated by genome editing from those obtained with classical breeding techniques or by natural mutation, it cannot be applied for unequivocal detection, identification and quantification</w:t>
            </w:r>
            <w:r w:rsidR="00DB6F17">
              <w:rPr>
                <w:sz w:val="22"/>
                <w:szCs w:val="22"/>
              </w:rPr>
              <w:t>”.</w:t>
            </w:r>
            <w:r>
              <w:rPr>
                <w:sz w:val="22"/>
                <w:szCs w:val="22"/>
              </w:rPr>
              <w:t xml:space="preserve"> The ENGL also concluded that “a</w:t>
            </w:r>
            <w:r w:rsidRPr="00664133">
              <w:rPr>
                <w:sz w:val="22"/>
                <w:szCs w:val="22"/>
              </w:rPr>
              <w:t>dditional validation work would be required to evaluate further the specificity, sensitivity and applicability of the method</w:t>
            </w:r>
            <w:r>
              <w:rPr>
                <w:sz w:val="22"/>
                <w:szCs w:val="22"/>
              </w:rPr>
              <w:t>”</w:t>
            </w:r>
            <w:r w:rsidRPr="00664133">
              <w:rPr>
                <w:sz w:val="22"/>
                <w:szCs w:val="22"/>
              </w:rPr>
              <w:t>.</w:t>
            </w:r>
            <w:r>
              <w:rPr>
                <w:sz w:val="22"/>
                <w:szCs w:val="22"/>
              </w:rPr>
              <w:t xml:space="preserve"> We recommend to include these conclusions in the text.</w:t>
            </w:r>
          </w:p>
        </w:tc>
      </w:tr>
      <w:tr w:rsidR="008A64A2" w:rsidRPr="00E86669" w14:paraId="7F215D66" w14:textId="77777777" w:rsidTr="00307697">
        <w:trPr>
          <w:cantSplit/>
          <w:trHeight w:val="233"/>
        </w:trPr>
        <w:tc>
          <w:tcPr>
            <w:tcW w:w="908" w:type="dxa"/>
          </w:tcPr>
          <w:p w14:paraId="7678C538" w14:textId="7A901C6E" w:rsidR="008A64A2" w:rsidRDefault="008A64A2" w:rsidP="00AD22BF">
            <w:pPr>
              <w:rPr>
                <w:sz w:val="22"/>
                <w:szCs w:val="22"/>
              </w:rPr>
            </w:pPr>
            <w:r>
              <w:rPr>
                <w:sz w:val="22"/>
                <w:szCs w:val="22"/>
              </w:rPr>
              <w:t>64</w:t>
            </w:r>
          </w:p>
        </w:tc>
        <w:tc>
          <w:tcPr>
            <w:tcW w:w="1255" w:type="dxa"/>
          </w:tcPr>
          <w:p w14:paraId="1232FDDE" w14:textId="591D03C4" w:rsidR="008A64A2" w:rsidRDefault="008A64A2" w:rsidP="00AD22BF">
            <w:pPr>
              <w:rPr>
                <w:sz w:val="22"/>
                <w:szCs w:val="22"/>
              </w:rPr>
            </w:pPr>
            <w:r>
              <w:rPr>
                <w:sz w:val="22"/>
                <w:szCs w:val="22"/>
              </w:rPr>
              <w:t>36</w:t>
            </w:r>
          </w:p>
        </w:tc>
        <w:tc>
          <w:tcPr>
            <w:tcW w:w="8025" w:type="dxa"/>
            <w:gridSpan w:val="2"/>
          </w:tcPr>
          <w:p w14:paraId="4941DF53" w14:textId="10FA9054" w:rsidR="008A64A2" w:rsidRDefault="008A64A2" w:rsidP="008A64A2">
            <w:pPr>
              <w:rPr>
                <w:sz w:val="22"/>
                <w:szCs w:val="22"/>
              </w:rPr>
            </w:pPr>
            <w:r>
              <w:rPr>
                <w:sz w:val="22"/>
                <w:szCs w:val="22"/>
              </w:rPr>
              <w:t>We suggest to include an important conclusion of the European Network of GMO Laboratories, 2019: “V</w:t>
            </w:r>
            <w:r w:rsidRPr="008A64A2">
              <w:rPr>
                <w:sz w:val="22"/>
                <w:szCs w:val="22"/>
              </w:rPr>
              <w:t xml:space="preserve">alidation of an event-specific detection method and its implementation for market control </w:t>
            </w:r>
            <w:r>
              <w:rPr>
                <w:sz w:val="22"/>
                <w:szCs w:val="22"/>
              </w:rPr>
              <w:t>is only</w:t>
            </w:r>
            <w:r w:rsidRPr="008A64A2">
              <w:rPr>
                <w:sz w:val="22"/>
                <w:szCs w:val="22"/>
              </w:rPr>
              <w:t xml:space="preserve"> feasible for genome-edited plant products carrying a known DNA alteration that has been shown to be unique</w:t>
            </w:r>
            <w:r>
              <w:rPr>
                <w:sz w:val="22"/>
                <w:szCs w:val="22"/>
              </w:rPr>
              <w:t>”</w:t>
            </w:r>
            <w:r w:rsidRPr="008A64A2">
              <w:rPr>
                <w:sz w:val="22"/>
                <w:szCs w:val="22"/>
              </w:rPr>
              <w:t>.</w:t>
            </w:r>
          </w:p>
        </w:tc>
      </w:tr>
      <w:tr w:rsidR="00804F3C" w:rsidRPr="00126B3E" w14:paraId="1079F45F" w14:textId="77777777" w:rsidTr="00804F3C">
        <w:trPr>
          <w:cantSplit/>
          <w:trHeight w:val="233"/>
        </w:trPr>
        <w:tc>
          <w:tcPr>
            <w:tcW w:w="908" w:type="dxa"/>
            <w:shd w:val="clear" w:color="auto" w:fill="auto"/>
          </w:tcPr>
          <w:p w14:paraId="650E0559" w14:textId="77777777" w:rsidR="00804F3C" w:rsidRPr="001A11C0" w:rsidRDefault="00804F3C" w:rsidP="00804F3C">
            <w:pPr>
              <w:rPr>
                <w:bCs/>
                <w:sz w:val="22"/>
                <w:szCs w:val="22"/>
              </w:rPr>
            </w:pPr>
            <w:r w:rsidRPr="001A11C0">
              <w:rPr>
                <w:bCs/>
                <w:sz w:val="22"/>
                <w:szCs w:val="22"/>
              </w:rPr>
              <w:t>66</w:t>
            </w:r>
          </w:p>
        </w:tc>
        <w:tc>
          <w:tcPr>
            <w:tcW w:w="1255" w:type="dxa"/>
            <w:shd w:val="clear" w:color="auto" w:fill="auto"/>
          </w:tcPr>
          <w:p w14:paraId="65F011A7" w14:textId="77777777" w:rsidR="00804F3C" w:rsidRPr="001A11C0" w:rsidRDefault="00804F3C" w:rsidP="00804F3C">
            <w:pPr>
              <w:rPr>
                <w:bCs/>
                <w:sz w:val="22"/>
                <w:szCs w:val="22"/>
              </w:rPr>
            </w:pPr>
            <w:r w:rsidRPr="001A11C0">
              <w:rPr>
                <w:bCs/>
                <w:sz w:val="22"/>
                <w:szCs w:val="22"/>
              </w:rPr>
              <w:t>15-16</w:t>
            </w:r>
          </w:p>
        </w:tc>
        <w:tc>
          <w:tcPr>
            <w:tcW w:w="8025" w:type="dxa"/>
            <w:gridSpan w:val="2"/>
            <w:shd w:val="clear" w:color="auto" w:fill="auto"/>
          </w:tcPr>
          <w:p w14:paraId="45E22A34" w14:textId="77777777" w:rsidR="00804F3C" w:rsidRPr="001D4939" w:rsidRDefault="00804F3C" w:rsidP="00804F3C">
            <w:pPr>
              <w:rPr>
                <w:bCs/>
                <w:sz w:val="22"/>
                <w:szCs w:val="22"/>
              </w:rPr>
            </w:pPr>
            <w:r>
              <w:rPr>
                <w:bCs/>
                <w:sz w:val="22"/>
                <w:szCs w:val="22"/>
              </w:rPr>
              <w:t>T</w:t>
            </w:r>
            <w:r w:rsidRPr="00222FD1">
              <w:rPr>
                <w:bCs/>
                <w:sz w:val="22"/>
                <w:szCs w:val="22"/>
              </w:rPr>
              <w:t>he exemptions are</w:t>
            </w:r>
            <w:r>
              <w:rPr>
                <w:bCs/>
                <w:sz w:val="22"/>
                <w:szCs w:val="22"/>
              </w:rPr>
              <w:t xml:space="preserve"> not always</w:t>
            </w:r>
            <w:r w:rsidRPr="00222FD1">
              <w:rPr>
                <w:bCs/>
                <w:sz w:val="22"/>
                <w:szCs w:val="22"/>
              </w:rPr>
              <w:t xml:space="preserve"> treated as conventional products. Therefore</w:t>
            </w:r>
            <w:r>
              <w:rPr>
                <w:bCs/>
                <w:sz w:val="22"/>
                <w:szCs w:val="22"/>
              </w:rPr>
              <w:t>,</w:t>
            </w:r>
            <w:r w:rsidRPr="00222FD1">
              <w:rPr>
                <w:bCs/>
                <w:sz w:val="22"/>
                <w:szCs w:val="22"/>
              </w:rPr>
              <w:t xml:space="preserve"> it would be more accurate to say that some countries treat </w:t>
            </w:r>
            <w:r>
              <w:rPr>
                <w:bCs/>
                <w:sz w:val="22"/>
                <w:szCs w:val="22"/>
              </w:rPr>
              <w:t>t</w:t>
            </w:r>
            <w:r w:rsidRPr="00222FD1">
              <w:rPr>
                <w:bCs/>
                <w:sz w:val="22"/>
                <w:szCs w:val="22"/>
              </w:rPr>
              <w:t>he exemptions as conventional products while other</w:t>
            </w:r>
            <w:r>
              <w:rPr>
                <w:bCs/>
                <w:sz w:val="22"/>
                <w:szCs w:val="22"/>
              </w:rPr>
              <w:t>s</w:t>
            </w:r>
            <w:r w:rsidRPr="00222FD1">
              <w:rPr>
                <w:bCs/>
                <w:sz w:val="22"/>
                <w:szCs w:val="22"/>
              </w:rPr>
              <w:t xml:space="preserve"> apply specific conditions such as making a public consultation, publishing those decisions or </w:t>
            </w:r>
            <w:r>
              <w:rPr>
                <w:bCs/>
                <w:sz w:val="22"/>
                <w:szCs w:val="22"/>
              </w:rPr>
              <w:t>introducing</w:t>
            </w:r>
            <w:r w:rsidRPr="00222FD1">
              <w:rPr>
                <w:bCs/>
                <w:sz w:val="22"/>
                <w:szCs w:val="22"/>
              </w:rPr>
              <w:t xml:space="preserve"> the exemptions in specific registers, </w:t>
            </w:r>
            <w:r>
              <w:rPr>
                <w:bCs/>
                <w:sz w:val="22"/>
                <w:szCs w:val="22"/>
              </w:rPr>
              <w:t>requiring</w:t>
            </w:r>
            <w:r w:rsidRPr="00222FD1">
              <w:rPr>
                <w:bCs/>
                <w:sz w:val="22"/>
                <w:szCs w:val="22"/>
              </w:rPr>
              <w:t xml:space="preserve"> specific follow up or monitoring reports.</w:t>
            </w:r>
          </w:p>
        </w:tc>
      </w:tr>
      <w:tr w:rsidR="00804F3C" w:rsidRPr="00126B3E" w14:paraId="12E807AD" w14:textId="77777777" w:rsidTr="00804F3C">
        <w:trPr>
          <w:cantSplit/>
          <w:trHeight w:val="233"/>
        </w:trPr>
        <w:tc>
          <w:tcPr>
            <w:tcW w:w="908" w:type="dxa"/>
            <w:shd w:val="clear" w:color="auto" w:fill="auto"/>
          </w:tcPr>
          <w:p w14:paraId="31A08E12" w14:textId="77777777" w:rsidR="00804F3C" w:rsidRPr="001A11C0" w:rsidRDefault="00804F3C" w:rsidP="00804F3C">
            <w:pPr>
              <w:rPr>
                <w:bCs/>
                <w:sz w:val="22"/>
                <w:szCs w:val="22"/>
              </w:rPr>
            </w:pPr>
            <w:r w:rsidRPr="001A11C0">
              <w:rPr>
                <w:bCs/>
                <w:sz w:val="22"/>
                <w:szCs w:val="22"/>
              </w:rPr>
              <w:t>66</w:t>
            </w:r>
          </w:p>
        </w:tc>
        <w:tc>
          <w:tcPr>
            <w:tcW w:w="1255" w:type="dxa"/>
            <w:shd w:val="clear" w:color="auto" w:fill="auto"/>
          </w:tcPr>
          <w:p w14:paraId="77770CCC" w14:textId="77777777" w:rsidR="00804F3C" w:rsidRPr="001A11C0" w:rsidRDefault="00804F3C" w:rsidP="00804F3C">
            <w:pPr>
              <w:rPr>
                <w:bCs/>
                <w:sz w:val="22"/>
                <w:szCs w:val="22"/>
              </w:rPr>
            </w:pPr>
            <w:r w:rsidRPr="001A11C0">
              <w:rPr>
                <w:bCs/>
                <w:sz w:val="22"/>
                <w:szCs w:val="22"/>
              </w:rPr>
              <w:t>38-40</w:t>
            </w:r>
          </w:p>
        </w:tc>
        <w:tc>
          <w:tcPr>
            <w:tcW w:w="8025" w:type="dxa"/>
            <w:gridSpan w:val="2"/>
            <w:shd w:val="clear" w:color="auto" w:fill="auto"/>
          </w:tcPr>
          <w:p w14:paraId="2D32DA28" w14:textId="4209EB26" w:rsidR="00804F3C" w:rsidRPr="00FA4010" w:rsidRDefault="009701D1" w:rsidP="009701D1">
            <w:pPr>
              <w:rPr>
                <w:bCs/>
                <w:sz w:val="22"/>
                <w:szCs w:val="22"/>
              </w:rPr>
            </w:pPr>
            <w:r w:rsidRPr="00FA4010">
              <w:rPr>
                <w:sz w:val="22"/>
              </w:rPr>
              <w:t xml:space="preserve">The European Court of Justice ruled that organisms obtained by mutagenesis are GMOs as defined in EU legislation and that new mutagenesis techniques are subject to the obligations of the EU GMOs legislation </w:t>
            </w:r>
            <w:r w:rsidR="00804F3C" w:rsidRPr="00FA4010">
              <w:rPr>
                <w:sz w:val="22"/>
              </w:rPr>
              <w:t xml:space="preserve"> (Court of Justice of the European Union</w:t>
            </w:r>
            <w:r w:rsidR="00804F3C" w:rsidRPr="00FA4010">
              <w:t xml:space="preserve"> Case C-528/16</w:t>
            </w:r>
            <w:r w:rsidR="00804F3C" w:rsidRPr="00FA4010">
              <w:rPr>
                <w:rStyle w:val="FootnoteReference"/>
              </w:rPr>
              <w:footnoteReference w:id="2"/>
            </w:r>
            <w:r w:rsidR="00804F3C" w:rsidRPr="00FA4010">
              <w:rPr>
                <w:sz w:val="22"/>
              </w:rPr>
              <w:t xml:space="preserve">). </w:t>
            </w:r>
          </w:p>
        </w:tc>
      </w:tr>
      <w:tr w:rsidR="00804F3C" w:rsidRPr="00126B3E" w14:paraId="60B2B5F9" w14:textId="77777777" w:rsidTr="00804F3C">
        <w:trPr>
          <w:cantSplit/>
          <w:trHeight w:val="233"/>
        </w:trPr>
        <w:tc>
          <w:tcPr>
            <w:tcW w:w="908" w:type="dxa"/>
            <w:shd w:val="clear" w:color="auto" w:fill="auto"/>
          </w:tcPr>
          <w:p w14:paraId="6A7B34D6" w14:textId="77777777" w:rsidR="00804F3C" w:rsidRPr="00C55E62" w:rsidRDefault="00804F3C" w:rsidP="00804F3C">
            <w:pPr>
              <w:rPr>
                <w:bCs/>
                <w:sz w:val="22"/>
                <w:szCs w:val="22"/>
              </w:rPr>
            </w:pPr>
            <w:r w:rsidRPr="00C55E62">
              <w:rPr>
                <w:bCs/>
                <w:sz w:val="22"/>
                <w:szCs w:val="22"/>
              </w:rPr>
              <w:t>70</w:t>
            </w:r>
          </w:p>
        </w:tc>
        <w:tc>
          <w:tcPr>
            <w:tcW w:w="1255" w:type="dxa"/>
            <w:shd w:val="clear" w:color="auto" w:fill="auto"/>
          </w:tcPr>
          <w:p w14:paraId="13A6F067" w14:textId="77777777" w:rsidR="00804F3C" w:rsidRPr="00C55E62" w:rsidRDefault="00804F3C" w:rsidP="00804F3C">
            <w:pPr>
              <w:rPr>
                <w:bCs/>
                <w:sz w:val="22"/>
                <w:szCs w:val="22"/>
              </w:rPr>
            </w:pPr>
            <w:r w:rsidRPr="00C55E62">
              <w:rPr>
                <w:bCs/>
                <w:sz w:val="22"/>
                <w:szCs w:val="22"/>
              </w:rPr>
              <w:t>Line 12</w:t>
            </w:r>
          </w:p>
        </w:tc>
        <w:tc>
          <w:tcPr>
            <w:tcW w:w="8025" w:type="dxa"/>
            <w:gridSpan w:val="2"/>
            <w:shd w:val="clear" w:color="auto" w:fill="auto"/>
          </w:tcPr>
          <w:p w14:paraId="06616029" w14:textId="77777777" w:rsidR="00804F3C" w:rsidRPr="00FA4010" w:rsidRDefault="00804F3C" w:rsidP="00804F3C">
            <w:pPr>
              <w:rPr>
                <w:bCs/>
                <w:sz w:val="22"/>
                <w:szCs w:val="22"/>
              </w:rPr>
            </w:pPr>
            <w:r w:rsidRPr="00FA4010">
              <w:rPr>
                <w:bCs/>
                <w:sz w:val="22"/>
                <w:szCs w:val="22"/>
              </w:rPr>
              <w:t>That that (remove repeated word)</w:t>
            </w:r>
          </w:p>
        </w:tc>
      </w:tr>
      <w:tr w:rsidR="00AD22BF" w:rsidRPr="00E86669" w14:paraId="1CCC2501" w14:textId="77777777" w:rsidTr="00307697">
        <w:trPr>
          <w:cantSplit/>
          <w:trHeight w:val="233"/>
        </w:trPr>
        <w:tc>
          <w:tcPr>
            <w:tcW w:w="908" w:type="dxa"/>
          </w:tcPr>
          <w:p w14:paraId="21A2821C" w14:textId="1EE16A91" w:rsidR="00AD22BF" w:rsidRPr="00E86669" w:rsidRDefault="00AD22BF" w:rsidP="00AD22BF">
            <w:pPr>
              <w:rPr>
                <w:sz w:val="22"/>
                <w:szCs w:val="22"/>
              </w:rPr>
            </w:pPr>
            <w:r w:rsidRPr="00E86669">
              <w:rPr>
                <w:sz w:val="22"/>
                <w:szCs w:val="22"/>
              </w:rPr>
              <w:t>107</w:t>
            </w:r>
          </w:p>
        </w:tc>
        <w:tc>
          <w:tcPr>
            <w:tcW w:w="1255" w:type="dxa"/>
          </w:tcPr>
          <w:p w14:paraId="726637C6" w14:textId="3559F7E0" w:rsidR="00AD22BF" w:rsidRPr="00E86669" w:rsidRDefault="00AD22BF" w:rsidP="00AD22BF">
            <w:pPr>
              <w:rPr>
                <w:sz w:val="22"/>
                <w:szCs w:val="22"/>
              </w:rPr>
            </w:pPr>
            <w:r w:rsidRPr="00E86669">
              <w:rPr>
                <w:sz w:val="22"/>
                <w:szCs w:val="22"/>
              </w:rPr>
              <w:t>36</w:t>
            </w:r>
          </w:p>
        </w:tc>
        <w:tc>
          <w:tcPr>
            <w:tcW w:w="8025" w:type="dxa"/>
            <w:gridSpan w:val="2"/>
          </w:tcPr>
          <w:p w14:paraId="56768B55" w14:textId="07F0022B" w:rsidR="00AD22BF" w:rsidRPr="00E86669" w:rsidRDefault="00AD22BF" w:rsidP="00AD22BF">
            <w:pPr>
              <w:rPr>
                <w:sz w:val="22"/>
                <w:szCs w:val="22"/>
              </w:rPr>
            </w:pPr>
            <w:r w:rsidRPr="00E86669">
              <w:rPr>
                <w:sz w:val="22"/>
                <w:szCs w:val="22"/>
              </w:rPr>
              <w:t xml:space="preserve">Please </w:t>
            </w:r>
            <w:r>
              <w:rPr>
                <w:sz w:val="22"/>
                <w:szCs w:val="22"/>
              </w:rPr>
              <w:t xml:space="preserve">correct </w:t>
            </w:r>
            <w:r w:rsidRPr="00E86669">
              <w:rPr>
                <w:sz w:val="22"/>
                <w:szCs w:val="22"/>
              </w:rPr>
              <w:t xml:space="preserve">the reference “ Naegeli et al., 2020” </w:t>
            </w:r>
            <w:r>
              <w:rPr>
                <w:sz w:val="22"/>
                <w:szCs w:val="22"/>
              </w:rPr>
              <w:t>as follows</w:t>
            </w:r>
            <w:r w:rsidRPr="00E86669">
              <w:rPr>
                <w:sz w:val="22"/>
                <w:szCs w:val="22"/>
              </w:rPr>
              <w:t xml:space="preserve"> “EFSA GMO Panel, 2020”</w:t>
            </w:r>
          </w:p>
        </w:tc>
      </w:tr>
      <w:tr w:rsidR="00AD22BF" w:rsidRPr="00E86669" w14:paraId="4425F3B4" w14:textId="77777777" w:rsidTr="00307697">
        <w:trPr>
          <w:cantSplit/>
          <w:trHeight w:val="233"/>
        </w:trPr>
        <w:tc>
          <w:tcPr>
            <w:tcW w:w="908" w:type="dxa"/>
          </w:tcPr>
          <w:p w14:paraId="5ADAB131" w14:textId="0FA2995D" w:rsidR="00AD22BF" w:rsidRPr="00E86669" w:rsidRDefault="00AD22BF" w:rsidP="00AD22BF">
            <w:pPr>
              <w:rPr>
                <w:sz w:val="22"/>
                <w:szCs w:val="22"/>
              </w:rPr>
            </w:pPr>
            <w:r w:rsidRPr="00E86669">
              <w:rPr>
                <w:sz w:val="22"/>
                <w:szCs w:val="22"/>
              </w:rPr>
              <w:t>165</w:t>
            </w:r>
          </w:p>
        </w:tc>
        <w:tc>
          <w:tcPr>
            <w:tcW w:w="1255" w:type="dxa"/>
          </w:tcPr>
          <w:p w14:paraId="12CC8157" w14:textId="2647F102" w:rsidR="00AD22BF" w:rsidRPr="00E86669" w:rsidRDefault="00AD22BF" w:rsidP="00AD22BF">
            <w:pPr>
              <w:rPr>
                <w:sz w:val="22"/>
                <w:szCs w:val="22"/>
              </w:rPr>
            </w:pPr>
            <w:r w:rsidRPr="00E86669">
              <w:rPr>
                <w:sz w:val="22"/>
                <w:szCs w:val="22"/>
              </w:rPr>
              <w:t>20-26</w:t>
            </w:r>
          </w:p>
        </w:tc>
        <w:tc>
          <w:tcPr>
            <w:tcW w:w="8025" w:type="dxa"/>
            <w:gridSpan w:val="2"/>
          </w:tcPr>
          <w:p w14:paraId="4A8AA698" w14:textId="0BF722C2" w:rsidR="00AD22BF" w:rsidRPr="00E86669" w:rsidRDefault="00AD22BF" w:rsidP="00AD22BF">
            <w:pPr>
              <w:rPr>
                <w:sz w:val="22"/>
                <w:szCs w:val="22"/>
              </w:rPr>
            </w:pPr>
            <w:r w:rsidRPr="00E86669">
              <w:rPr>
                <w:sz w:val="22"/>
                <w:szCs w:val="22"/>
              </w:rPr>
              <w:t xml:space="preserve">Please </w:t>
            </w:r>
            <w:r>
              <w:rPr>
                <w:sz w:val="22"/>
                <w:szCs w:val="22"/>
              </w:rPr>
              <w:t>correct</w:t>
            </w:r>
            <w:r w:rsidRPr="00E86669">
              <w:rPr>
                <w:sz w:val="22"/>
                <w:szCs w:val="22"/>
              </w:rPr>
              <w:t xml:space="preserve"> the reference </w:t>
            </w:r>
            <w:r>
              <w:rPr>
                <w:sz w:val="22"/>
                <w:szCs w:val="22"/>
              </w:rPr>
              <w:t>as follows:</w:t>
            </w:r>
            <w:r w:rsidRPr="00E86669">
              <w:rPr>
                <w:sz w:val="22"/>
                <w:szCs w:val="22"/>
              </w:rPr>
              <w:t xml:space="preserve"> “</w:t>
            </w:r>
            <w:r w:rsidRPr="00E86669">
              <w:rPr>
                <w:rStyle w:val="groupname"/>
                <w:color w:val="1C1D1E"/>
                <w:sz w:val="22"/>
                <w:szCs w:val="22"/>
                <w:shd w:val="clear" w:color="auto" w:fill="FFFFFF"/>
              </w:rPr>
              <w:t>EFSA GMO Panel (EFSA Panel on Genetically Modified Organisms)</w:t>
            </w:r>
            <w:r w:rsidRPr="00E86669">
              <w:rPr>
                <w:color w:val="1C1D1E"/>
                <w:sz w:val="22"/>
                <w:szCs w:val="22"/>
                <w:shd w:val="clear" w:color="auto" w:fill="FFFFFF"/>
              </w:rPr>
              <w:t xml:space="preserve">, </w:t>
            </w:r>
            <w:r w:rsidRPr="00E86669">
              <w:rPr>
                <w:rStyle w:val="author"/>
                <w:color w:val="1C1D1E"/>
                <w:sz w:val="22"/>
                <w:szCs w:val="22"/>
                <w:shd w:val="clear" w:color="auto" w:fill="FFFFFF"/>
              </w:rPr>
              <w:t>Naegeli, H</w:t>
            </w:r>
            <w:r w:rsidRPr="00E86669">
              <w:rPr>
                <w:color w:val="1C1D1E"/>
                <w:sz w:val="22"/>
                <w:szCs w:val="22"/>
                <w:shd w:val="clear" w:color="auto" w:fill="FFFFFF"/>
              </w:rPr>
              <w:t xml:space="preserve">, </w:t>
            </w:r>
            <w:r w:rsidRPr="00E86669">
              <w:rPr>
                <w:rStyle w:val="author"/>
                <w:color w:val="1C1D1E"/>
                <w:sz w:val="22"/>
                <w:szCs w:val="22"/>
                <w:shd w:val="clear" w:color="auto" w:fill="FFFFFF"/>
              </w:rPr>
              <w:t>Bresson, J-L</w:t>
            </w:r>
            <w:r w:rsidRPr="00E86669">
              <w:rPr>
                <w:color w:val="1C1D1E"/>
                <w:sz w:val="22"/>
                <w:szCs w:val="22"/>
                <w:shd w:val="clear" w:color="auto" w:fill="FFFFFF"/>
              </w:rPr>
              <w:t xml:space="preserve">, </w:t>
            </w:r>
            <w:r w:rsidRPr="00E86669">
              <w:rPr>
                <w:rStyle w:val="author"/>
                <w:color w:val="1C1D1E"/>
                <w:sz w:val="22"/>
                <w:szCs w:val="22"/>
                <w:shd w:val="clear" w:color="auto" w:fill="FFFFFF"/>
              </w:rPr>
              <w:t>Dalmay, T</w:t>
            </w:r>
            <w:r w:rsidRPr="00E86669">
              <w:rPr>
                <w:color w:val="1C1D1E"/>
                <w:sz w:val="22"/>
                <w:szCs w:val="22"/>
                <w:shd w:val="clear" w:color="auto" w:fill="FFFFFF"/>
              </w:rPr>
              <w:t xml:space="preserve">, </w:t>
            </w:r>
            <w:r w:rsidRPr="00E86669">
              <w:rPr>
                <w:rStyle w:val="author"/>
                <w:color w:val="1C1D1E"/>
                <w:sz w:val="22"/>
                <w:szCs w:val="22"/>
                <w:shd w:val="clear" w:color="auto" w:fill="FFFFFF"/>
              </w:rPr>
              <w:t>Dewhurst, IC</w:t>
            </w:r>
            <w:r w:rsidRPr="00E86669">
              <w:rPr>
                <w:color w:val="1C1D1E"/>
                <w:sz w:val="22"/>
                <w:szCs w:val="22"/>
                <w:shd w:val="clear" w:color="auto" w:fill="FFFFFF"/>
              </w:rPr>
              <w:t xml:space="preserve">, </w:t>
            </w:r>
            <w:r w:rsidRPr="00E86669">
              <w:rPr>
                <w:rStyle w:val="author"/>
                <w:color w:val="1C1D1E"/>
                <w:sz w:val="22"/>
                <w:szCs w:val="22"/>
                <w:shd w:val="clear" w:color="auto" w:fill="FFFFFF"/>
              </w:rPr>
              <w:t>Epstein, MM</w:t>
            </w:r>
            <w:r w:rsidRPr="00E86669">
              <w:rPr>
                <w:color w:val="1C1D1E"/>
                <w:sz w:val="22"/>
                <w:szCs w:val="22"/>
                <w:shd w:val="clear" w:color="auto" w:fill="FFFFFF"/>
              </w:rPr>
              <w:t xml:space="preserve">, </w:t>
            </w:r>
            <w:r w:rsidRPr="00E86669">
              <w:rPr>
                <w:rStyle w:val="author"/>
                <w:color w:val="1C1D1E"/>
                <w:sz w:val="22"/>
                <w:szCs w:val="22"/>
                <w:shd w:val="clear" w:color="auto" w:fill="FFFFFF"/>
              </w:rPr>
              <w:t>Guerche, P</w:t>
            </w:r>
            <w:r w:rsidRPr="00E86669">
              <w:rPr>
                <w:color w:val="1C1D1E"/>
                <w:sz w:val="22"/>
                <w:szCs w:val="22"/>
                <w:shd w:val="clear" w:color="auto" w:fill="FFFFFF"/>
              </w:rPr>
              <w:t xml:space="preserve">, </w:t>
            </w:r>
            <w:r w:rsidRPr="00E86669">
              <w:rPr>
                <w:rStyle w:val="author"/>
                <w:color w:val="1C1D1E"/>
                <w:sz w:val="22"/>
                <w:szCs w:val="22"/>
                <w:shd w:val="clear" w:color="auto" w:fill="FFFFFF"/>
              </w:rPr>
              <w:t>Hejatko, J</w:t>
            </w:r>
            <w:r w:rsidRPr="00E86669">
              <w:rPr>
                <w:color w:val="1C1D1E"/>
                <w:sz w:val="22"/>
                <w:szCs w:val="22"/>
                <w:shd w:val="clear" w:color="auto" w:fill="FFFFFF"/>
              </w:rPr>
              <w:t xml:space="preserve">, </w:t>
            </w:r>
            <w:r w:rsidRPr="00E86669">
              <w:rPr>
                <w:rStyle w:val="author"/>
                <w:color w:val="1C1D1E"/>
                <w:sz w:val="22"/>
                <w:szCs w:val="22"/>
                <w:shd w:val="clear" w:color="auto" w:fill="FFFFFF"/>
              </w:rPr>
              <w:t>Moreno, FJ</w:t>
            </w:r>
            <w:r w:rsidRPr="00E86669">
              <w:rPr>
                <w:color w:val="1C1D1E"/>
                <w:sz w:val="22"/>
                <w:szCs w:val="22"/>
                <w:shd w:val="clear" w:color="auto" w:fill="FFFFFF"/>
              </w:rPr>
              <w:t xml:space="preserve">, </w:t>
            </w:r>
            <w:r w:rsidRPr="00E86669">
              <w:rPr>
                <w:rStyle w:val="author"/>
                <w:color w:val="1C1D1E"/>
                <w:sz w:val="22"/>
                <w:szCs w:val="22"/>
                <w:shd w:val="clear" w:color="auto" w:fill="FFFFFF"/>
              </w:rPr>
              <w:t>Mullins, E</w:t>
            </w:r>
            <w:r w:rsidRPr="00E86669">
              <w:rPr>
                <w:color w:val="1C1D1E"/>
                <w:sz w:val="22"/>
                <w:szCs w:val="22"/>
                <w:shd w:val="clear" w:color="auto" w:fill="FFFFFF"/>
              </w:rPr>
              <w:t xml:space="preserve">, </w:t>
            </w:r>
            <w:r w:rsidRPr="00E86669">
              <w:rPr>
                <w:rStyle w:val="author"/>
                <w:color w:val="1C1D1E"/>
                <w:sz w:val="22"/>
                <w:szCs w:val="22"/>
                <w:shd w:val="clear" w:color="auto" w:fill="FFFFFF"/>
              </w:rPr>
              <w:t>Nogué, F</w:t>
            </w:r>
            <w:r w:rsidRPr="00E86669">
              <w:rPr>
                <w:color w:val="1C1D1E"/>
                <w:sz w:val="22"/>
                <w:szCs w:val="22"/>
                <w:shd w:val="clear" w:color="auto" w:fill="FFFFFF"/>
              </w:rPr>
              <w:t xml:space="preserve">, </w:t>
            </w:r>
            <w:r w:rsidRPr="00E86669">
              <w:rPr>
                <w:rStyle w:val="author"/>
                <w:color w:val="1C1D1E"/>
                <w:sz w:val="22"/>
                <w:szCs w:val="22"/>
                <w:shd w:val="clear" w:color="auto" w:fill="FFFFFF"/>
              </w:rPr>
              <w:t>Rostoks, N</w:t>
            </w:r>
            <w:r w:rsidRPr="00E86669">
              <w:rPr>
                <w:color w:val="1C1D1E"/>
                <w:sz w:val="22"/>
                <w:szCs w:val="22"/>
                <w:shd w:val="clear" w:color="auto" w:fill="FFFFFF"/>
              </w:rPr>
              <w:t xml:space="preserve">, </w:t>
            </w:r>
            <w:r w:rsidRPr="00E86669">
              <w:rPr>
                <w:rStyle w:val="author"/>
                <w:color w:val="1C1D1E"/>
                <w:sz w:val="22"/>
                <w:szCs w:val="22"/>
                <w:shd w:val="clear" w:color="auto" w:fill="FFFFFF"/>
              </w:rPr>
              <w:t>Sánchez Serrano, JJ</w:t>
            </w:r>
            <w:r w:rsidRPr="00E86669">
              <w:rPr>
                <w:color w:val="1C1D1E"/>
                <w:sz w:val="22"/>
                <w:szCs w:val="22"/>
                <w:shd w:val="clear" w:color="auto" w:fill="FFFFFF"/>
              </w:rPr>
              <w:t xml:space="preserve">, </w:t>
            </w:r>
            <w:r w:rsidRPr="00E86669">
              <w:rPr>
                <w:rStyle w:val="author"/>
                <w:color w:val="1C1D1E"/>
                <w:sz w:val="22"/>
                <w:szCs w:val="22"/>
                <w:shd w:val="clear" w:color="auto" w:fill="FFFFFF"/>
              </w:rPr>
              <w:t>Savoini, G</w:t>
            </w:r>
            <w:r w:rsidRPr="00E86669">
              <w:rPr>
                <w:color w:val="1C1D1E"/>
                <w:sz w:val="22"/>
                <w:szCs w:val="22"/>
                <w:shd w:val="clear" w:color="auto" w:fill="FFFFFF"/>
              </w:rPr>
              <w:t xml:space="preserve">, </w:t>
            </w:r>
            <w:r w:rsidRPr="00E86669">
              <w:rPr>
                <w:rStyle w:val="author"/>
                <w:color w:val="1C1D1E"/>
                <w:sz w:val="22"/>
                <w:szCs w:val="22"/>
                <w:shd w:val="clear" w:color="auto" w:fill="FFFFFF"/>
              </w:rPr>
              <w:t>Veromann, E</w:t>
            </w:r>
            <w:r w:rsidRPr="00E86669">
              <w:rPr>
                <w:color w:val="1C1D1E"/>
                <w:sz w:val="22"/>
                <w:szCs w:val="22"/>
                <w:shd w:val="clear" w:color="auto" w:fill="FFFFFF"/>
              </w:rPr>
              <w:t xml:space="preserve">, </w:t>
            </w:r>
            <w:r w:rsidRPr="00E86669">
              <w:rPr>
                <w:rStyle w:val="author"/>
                <w:color w:val="1C1D1E"/>
                <w:sz w:val="22"/>
                <w:szCs w:val="22"/>
                <w:shd w:val="clear" w:color="auto" w:fill="FFFFFF"/>
              </w:rPr>
              <w:t>Veronesi, F</w:t>
            </w:r>
            <w:r w:rsidRPr="00E86669">
              <w:rPr>
                <w:color w:val="1C1D1E"/>
                <w:sz w:val="22"/>
                <w:szCs w:val="22"/>
                <w:shd w:val="clear" w:color="auto" w:fill="FFFFFF"/>
              </w:rPr>
              <w:t xml:space="preserve">, </w:t>
            </w:r>
            <w:r w:rsidRPr="00E86669">
              <w:rPr>
                <w:rStyle w:val="author"/>
                <w:color w:val="1C1D1E"/>
                <w:sz w:val="22"/>
                <w:szCs w:val="22"/>
                <w:shd w:val="clear" w:color="auto" w:fill="FFFFFF"/>
              </w:rPr>
              <w:t>Bonsall, MB</w:t>
            </w:r>
            <w:r w:rsidRPr="00E86669">
              <w:rPr>
                <w:color w:val="1C1D1E"/>
                <w:sz w:val="22"/>
                <w:szCs w:val="22"/>
                <w:shd w:val="clear" w:color="auto" w:fill="FFFFFF"/>
              </w:rPr>
              <w:t xml:space="preserve">, </w:t>
            </w:r>
            <w:r w:rsidRPr="00E86669">
              <w:rPr>
                <w:rStyle w:val="author"/>
                <w:color w:val="1C1D1E"/>
                <w:sz w:val="22"/>
                <w:szCs w:val="22"/>
                <w:shd w:val="clear" w:color="auto" w:fill="FFFFFF"/>
              </w:rPr>
              <w:t>Mumford, J</w:t>
            </w:r>
            <w:r w:rsidRPr="00E86669">
              <w:rPr>
                <w:color w:val="1C1D1E"/>
                <w:sz w:val="22"/>
                <w:szCs w:val="22"/>
                <w:shd w:val="clear" w:color="auto" w:fill="FFFFFF"/>
              </w:rPr>
              <w:t xml:space="preserve">, </w:t>
            </w:r>
            <w:r w:rsidRPr="00E86669">
              <w:rPr>
                <w:rStyle w:val="author"/>
                <w:color w:val="1C1D1E"/>
                <w:sz w:val="22"/>
                <w:szCs w:val="22"/>
                <w:shd w:val="clear" w:color="auto" w:fill="FFFFFF"/>
              </w:rPr>
              <w:t>Wimmer, EA</w:t>
            </w:r>
            <w:r w:rsidRPr="00E86669">
              <w:rPr>
                <w:color w:val="1C1D1E"/>
                <w:sz w:val="22"/>
                <w:szCs w:val="22"/>
                <w:shd w:val="clear" w:color="auto" w:fill="FFFFFF"/>
              </w:rPr>
              <w:t xml:space="preserve">, </w:t>
            </w:r>
            <w:r w:rsidRPr="00E86669">
              <w:rPr>
                <w:rStyle w:val="author"/>
                <w:color w:val="1C1D1E"/>
                <w:sz w:val="22"/>
                <w:szCs w:val="22"/>
                <w:shd w:val="clear" w:color="auto" w:fill="FFFFFF"/>
              </w:rPr>
              <w:t>Devos, Y</w:t>
            </w:r>
            <w:r w:rsidRPr="00E86669">
              <w:rPr>
                <w:color w:val="1C1D1E"/>
                <w:sz w:val="22"/>
                <w:szCs w:val="22"/>
                <w:shd w:val="clear" w:color="auto" w:fill="FFFFFF"/>
              </w:rPr>
              <w:t xml:space="preserve">, </w:t>
            </w:r>
            <w:r w:rsidRPr="00E86669">
              <w:rPr>
                <w:rStyle w:val="author"/>
                <w:color w:val="1C1D1E"/>
                <w:sz w:val="22"/>
                <w:szCs w:val="22"/>
                <w:shd w:val="clear" w:color="auto" w:fill="FFFFFF"/>
              </w:rPr>
              <w:t xml:space="preserve">Paraskevopoulos, K </w:t>
            </w:r>
            <w:r w:rsidRPr="00E86669">
              <w:rPr>
                <w:color w:val="1C1D1E"/>
                <w:sz w:val="22"/>
                <w:szCs w:val="22"/>
                <w:shd w:val="clear" w:color="auto" w:fill="FFFFFF"/>
              </w:rPr>
              <w:t xml:space="preserve">and </w:t>
            </w:r>
            <w:r w:rsidRPr="00E86669">
              <w:rPr>
                <w:rStyle w:val="author"/>
                <w:color w:val="1C1D1E"/>
                <w:sz w:val="22"/>
                <w:szCs w:val="22"/>
                <w:shd w:val="clear" w:color="auto" w:fill="FFFFFF"/>
              </w:rPr>
              <w:t>Firbank, LG</w:t>
            </w:r>
            <w:r w:rsidRPr="00E86669">
              <w:rPr>
                <w:color w:val="1C1D1E"/>
                <w:sz w:val="22"/>
                <w:szCs w:val="22"/>
                <w:shd w:val="clear" w:color="auto" w:fill="FFFFFF"/>
              </w:rPr>
              <w:t xml:space="preserve">, </w:t>
            </w:r>
            <w:r w:rsidRPr="00E86669">
              <w:rPr>
                <w:rStyle w:val="pubyear"/>
                <w:color w:val="1C1D1E"/>
                <w:sz w:val="22"/>
                <w:szCs w:val="22"/>
                <w:shd w:val="clear" w:color="auto" w:fill="FFFFFF"/>
              </w:rPr>
              <w:t>2020</w:t>
            </w:r>
            <w:r w:rsidRPr="00E86669">
              <w:rPr>
                <w:color w:val="1C1D1E"/>
                <w:sz w:val="22"/>
                <w:szCs w:val="22"/>
                <w:shd w:val="clear" w:color="auto" w:fill="FFFFFF"/>
              </w:rPr>
              <w:t xml:space="preserve">. </w:t>
            </w:r>
            <w:r w:rsidRPr="00E86669">
              <w:rPr>
                <w:rStyle w:val="articletitle"/>
                <w:color w:val="1C1D1E"/>
                <w:sz w:val="22"/>
                <w:szCs w:val="22"/>
                <w:shd w:val="clear" w:color="auto" w:fill="FFFFFF"/>
              </w:rPr>
              <w:t>Scientific Opinion on the adequacy and sufficiency evaluation of existing EFSA guidelines for the molecular characterisation, environmental risk assessment and post-market environmental monitoring of genetically modified insects containing engineered gene drives</w:t>
            </w:r>
            <w:r w:rsidRPr="00E86669">
              <w:rPr>
                <w:color w:val="1C1D1E"/>
                <w:sz w:val="22"/>
                <w:szCs w:val="22"/>
                <w:shd w:val="clear" w:color="auto" w:fill="FFFFFF"/>
              </w:rPr>
              <w:t xml:space="preserve">. </w:t>
            </w:r>
            <w:r w:rsidRPr="00E86669">
              <w:rPr>
                <w:i/>
                <w:iCs/>
                <w:color w:val="1C1D1E"/>
                <w:sz w:val="22"/>
                <w:szCs w:val="22"/>
                <w:shd w:val="clear" w:color="auto" w:fill="FFFFFF"/>
              </w:rPr>
              <w:t xml:space="preserve">EFSA Journal </w:t>
            </w:r>
            <w:r w:rsidRPr="00E86669">
              <w:rPr>
                <w:color w:val="1C1D1E"/>
                <w:sz w:val="22"/>
                <w:szCs w:val="22"/>
                <w:shd w:val="clear" w:color="auto" w:fill="FFFFFF"/>
              </w:rPr>
              <w:t>2020;18(11):6297, 90 pp. </w:t>
            </w:r>
            <w:hyperlink r:id="rId16" w:history="1">
              <w:r w:rsidRPr="00E86669">
                <w:rPr>
                  <w:rStyle w:val="Hyperlink"/>
                  <w:color w:val="002596"/>
                  <w:sz w:val="22"/>
                  <w:szCs w:val="22"/>
                  <w:shd w:val="clear" w:color="auto" w:fill="FFFFFF"/>
                </w:rPr>
                <w:t>https://doi.org/10.2903/j.efsa.2020.6297</w:t>
              </w:r>
            </w:hyperlink>
            <w:r w:rsidRPr="00E86669">
              <w:rPr>
                <w:sz w:val="22"/>
                <w:szCs w:val="22"/>
              </w:rPr>
              <w:t>”</w:t>
            </w:r>
          </w:p>
        </w:tc>
      </w:tr>
    </w:tbl>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17"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05C9" w14:textId="77777777" w:rsidR="00804F3C" w:rsidRDefault="00804F3C" w:rsidP="00593BC6">
      <w:r>
        <w:separator/>
      </w:r>
    </w:p>
  </w:endnote>
  <w:endnote w:type="continuationSeparator" w:id="0">
    <w:p w14:paraId="016D7FE9" w14:textId="77777777" w:rsidR="00804F3C" w:rsidRDefault="00804F3C" w:rsidP="00593BC6">
      <w:r>
        <w:continuationSeparator/>
      </w:r>
    </w:p>
  </w:endnote>
  <w:endnote w:type="continuationNotice" w:id="1">
    <w:p w14:paraId="44C12619" w14:textId="77777777" w:rsidR="00804F3C" w:rsidRDefault="0080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3B04" w14:textId="77777777" w:rsidR="00804F3C" w:rsidRDefault="00804F3C" w:rsidP="00593BC6">
      <w:r>
        <w:separator/>
      </w:r>
    </w:p>
  </w:footnote>
  <w:footnote w:type="continuationSeparator" w:id="0">
    <w:p w14:paraId="79B199DB" w14:textId="77777777" w:rsidR="00804F3C" w:rsidRDefault="00804F3C" w:rsidP="00593BC6">
      <w:r>
        <w:continuationSeparator/>
      </w:r>
    </w:p>
  </w:footnote>
  <w:footnote w:type="continuationNotice" w:id="1">
    <w:p w14:paraId="19971473" w14:textId="77777777" w:rsidR="00804F3C" w:rsidRDefault="00804F3C"/>
  </w:footnote>
  <w:footnote w:id="2">
    <w:p w14:paraId="42FBEA52" w14:textId="77777777" w:rsidR="00804F3C" w:rsidRPr="00732977" w:rsidRDefault="00804F3C" w:rsidP="00804F3C">
      <w:pPr>
        <w:autoSpaceDE w:val="0"/>
        <w:autoSpaceDN w:val="0"/>
        <w:rPr>
          <w:rFonts w:ascii="Calibri" w:hAnsi="Calibri" w:cs="Calibri"/>
          <w:sz w:val="22"/>
          <w:szCs w:val="22"/>
          <w:lang w:val="fr-BE" w:eastAsia="fr-BE"/>
        </w:rPr>
      </w:pPr>
      <w:r>
        <w:rPr>
          <w:rStyle w:val="FootnoteReference"/>
        </w:rPr>
        <w:footnoteRef/>
      </w:r>
      <w:r>
        <w:t xml:space="preserve"> </w:t>
      </w:r>
      <w:r w:rsidRPr="00732977">
        <w:rPr>
          <w:lang w:eastAsia="fr-BE"/>
        </w:rPr>
        <w:t>Court of Justice of the European Union. (2018). Judgment Of the Court (Grand Chamber): Mutagenesis 40 — Directive 2001/18/EC, Interpretation and assessment of validity — Notion of ‘genetically 41 modified organism’ — Common catalogue of varieties of agricultural plant species — New 42 techniques of mutagenesis. </w:t>
      </w:r>
      <w:hyperlink r:id="rId1" w:history="1">
        <w:r w:rsidRPr="00732977">
          <w:rPr>
            <w:color w:val="0000FF"/>
            <w:u w:val="single"/>
            <w:lang w:eastAsia="fr-BE"/>
          </w:rPr>
          <w:t>http://curia.europa.eu/juris/documents.jsf?num=C-528/16#</w:t>
        </w:r>
      </w:hyperlink>
      <w:r w:rsidRPr="00732977">
        <w:rPr>
          <w:rFonts w:ascii="Segoe UI" w:hAnsi="Segoe UI" w:cs="Segoe UI"/>
          <w:color w:val="000000"/>
          <w:sz w:val="20"/>
          <w:szCs w:val="20"/>
          <w:lang w:eastAsia="fr-BE"/>
        </w:rPr>
        <w:t xml:space="preserve"> </w:t>
      </w:r>
      <w:r>
        <w:rPr>
          <w:rFonts w:ascii="Segoe UI" w:hAnsi="Segoe UI" w:cs="Segoe UI"/>
          <w:color w:val="000000"/>
          <w:sz w:val="20"/>
          <w:szCs w:val="20"/>
          <w:lang w:eastAsia="fr-BE"/>
        </w:rPr>
        <w:t xml:space="preserve"> </w:t>
      </w:r>
    </w:p>
    <w:p w14:paraId="555935F6" w14:textId="77777777" w:rsidR="00804F3C" w:rsidRPr="00D478B8" w:rsidRDefault="00804F3C" w:rsidP="00804F3C">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1991" w14:textId="77777777" w:rsidR="00804F3C" w:rsidRDefault="00804F3C"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0B49"/>
    <w:multiLevelType w:val="hybridMultilevel"/>
    <w:tmpl w:val="92F2BB1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3D1C12"/>
    <w:multiLevelType w:val="hybridMultilevel"/>
    <w:tmpl w:val="CF04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95174"/>
    <w:multiLevelType w:val="hybridMultilevel"/>
    <w:tmpl w:val="51BC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C74DF"/>
    <w:multiLevelType w:val="hybridMultilevel"/>
    <w:tmpl w:val="B4C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04C93"/>
    <w:rsid w:val="00004E17"/>
    <w:rsid w:val="00011441"/>
    <w:rsid w:val="000124D0"/>
    <w:rsid w:val="0001740E"/>
    <w:rsid w:val="000204F0"/>
    <w:rsid w:val="0002398A"/>
    <w:rsid w:val="00023F4C"/>
    <w:rsid w:val="0002506B"/>
    <w:rsid w:val="0002726E"/>
    <w:rsid w:val="00036F9E"/>
    <w:rsid w:val="000417F0"/>
    <w:rsid w:val="000418F3"/>
    <w:rsid w:val="00042A64"/>
    <w:rsid w:val="00047A4B"/>
    <w:rsid w:val="00050201"/>
    <w:rsid w:val="00051CC6"/>
    <w:rsid w:val="00054613"/>
    <w:rsid w:val="00054BA8"/>
    <w:rsid w:val="00054C78"/>
    <w:rsid w:val="00056C51"/>
    <w:rsid w:val="00056C5F"/>
    <w:rsid w:val="000604E2"/>
    <w:rsid w:val="00063418"/>
    <w:rsid w:val="000661D8"/>
    <w:rsid w:val="000715A5"/>
    <w:rsid w:val="000722F3"/>
    <w:rsid w:val="00076090"/>
    <w:rsid w:val="0007762A"/>
    <w:rsid w:val="00086C07"/>
    <w:rsid w:val="000914D6"/>
    <w:rsid w:val="00091F4D"/>
    <w:rsid w:val="000951C7"/>
    <w:rsid w:val="00096195"/>
    <w:rsid w:val="0009706B"/>
    <w:rsid w:val="000A23FB"/>
    <w:rsid w:val="000A3571"/>
    <w:rsid w:val="000A3C2A"/>
    <w:rsid w:val="000A54FC"/>
    <w:rsid w:val="000A777A"/>
    <w:rsid w:val="000B68F1"/>
    <w:rsid w:val="000C459D"/>
    <w:rsid w:val="000C6F4F"/>
    <w:rsid w:val="000C7296"/>
    <w:rsid w:val="000D6641"/>
    <w:rsid w:val="000D7661"/>
    <w:rsid w:val="000E2E07"/>
    <w:rsid w:val="000E5AFB"/>
    <w:rsid w:val="000E5FC2"/>
    <w:rsid w:val="000E7EAB"/>
    <w:rsid w:val="000F2CE3"/>
    <w:rsid w:val="000F2E03"/>
    <w:rsid w:val="000F7862"/>
    <w:rsid w:val="000F7A48"/>
    <w:rsid w:val="00102CE4"/>
    <w:rsid w:val="00110DAE"/>
    <w:rsid w:val="001133E9"/>
    <w:rsid w:val="001146C3"/>
    <w:rsid w:val="00117889"/>
    <w:rsid w:val="00125347"/>
    <w:rsid w:val="00125BE7"/>
    <w:rsid w:val="001266F7"/>
    <w:rsid w:val="00126B3E"/>
    <w:rsid w:val="001308C4"/>
    <w:rsid w:val="00132070"/>
    <w:rsid w:val="00133036"/>
    <w:rsid w:val="00135D96"/>
    <w:rsid w:val="00143F22"/>
    <w:rsid w:val="0014471C"/>
    <w:rsid w:val="00145A8B"/>
    <w:rsid w:val="001460B7"/>
    <w:rsid w:val="00146C83"/>
    <w:rsid w:val="00147A38"/>
    <w:rsid w:val="00161D17"/>
    <w:rsid w:val="00164A16"/>
    <w:rsid w:val="00164F3D"/>
    <w:rsid w:val="00167E84"/>
    <w:rsid w:val="001711E1"/>
    <w:rsid w:val="00175386"/>
    <w:rsid w:val="00181A99"/>
    <w:rsid w:val="001946B8"/>
    <w:rsid w:val="00196416"/>
    <w:rsid w:val="001968CB"/>
    <w:rsid w:val="001A11C0"/>
    <w:rsid w:val="001A191D"/>
    <w:rsid w:val="001A59C5"/>
    <w:rsid w:val="001A7A21"/>
    <w:rsid w:val="001B5362"/>
    <w:rsid w:val="001C1EEF"/>
    <w:rsid w:val="001D35FD"/>
    <w:rsid w:val="001D4939"/>
    <w:rsid w:val="001E4DD8"/>
    <w:rsid w:val="001E5698"/>
    <w:rsid w:val="001F25AA"/>
    <w:rsid w:val="001F3875"/>
    <w:rsid w:val="00200321"/>
    <w:rsid w:val="0020220C"/>
    <w:rsid w:val="00203C56"/>
    <w:rsid w:val="00206586"/>
    <w:rsid w:val="00211354"/>
    <w:rsid w:val="00220F8F"/>
    <w:rsid w:val="002221F6"/>
    <w:rsid w:val="00222FD1"/>
    <w:rsid w:val="00226186"/>
    <w:rsid w:val="002271D9"/>
    <w:rsid w:val="00230BC4"/>
    <w:rsid w:val="002365E6"/>
    <w:rsid w:val="00241263"/>
    <w:rsid w:val="00242E1F"/>
    <w:rsid w:val="00243332"/>
    <w:rsid w:val="0024383F"/>
    <w:rsid w:val="00245645"/>
    <w:rsid w:val="002513AA"/>
    <w:rsid w:val="00262447"/>
    <w:rsid w:val="0026298B"/>
    <w:rsid w:val="00267925"/>
    <w:rsid w:val="00271249"/>
    <w:rsid w:val="0027178E"/>
    <w:rsid w:val="002727A8"/>
    <w:rsid w:val="00273DB0"/>
    <w:rsid w:val="00276C74"/>
    <w:rsid w:val="002811FB"/>
    <w:rsid w:val="00283773"/>
    <w:rsid w:val="0029208C"/>
    <w:rsid w:val="00293789"/>
    <w:rsid w:val="00293F84"/>
    <w:rsid w:val="002956BE"/>
    <w:rsid w:val="002A072A"/>
    <w:rsid w:val="002A197D"/>
    <w:rsid w:val="002A1E51"/>
    <w:rsid w:val="002A1F3D"/>
    <w:rsid w:val="002A4FBA"/>
    <w:rsid w:val="002A60F1"/>
    <w:rsid w:val="002A7E41"/>
    <w:rsid w:val="002B04C5"/>
    <w:rsid w:val="002B39D4"/>
    <w:rsid w:val="002B47A1"/>
    <w:rsid w:val="002B647E"/>
    <w:rsid w:val="002B6F76"/>
    <w:rsid w:val="002C2CC0"/>
    <w:rsid w:val="002C3F4E"/>
    <w:rsid w:val="002C405F"/>
    <w:rsid w:val="002C7C52"/>
    <w:rsid w:val="002D069C"/>
    <w:rsid w:val="002D2080"/>
    <w:rsid w:val="002D3B34"/>
    <w:rsid w:val="002D548F"/>
    <w:rsid w:val="002E02FE"/>
    <w:rsid w:val="002E1551"/>
    <w:rsid w:val="002E24FC"/>
    <w:rsid w:val="002E2610"/>
    <w:rsid w:val="002E46E3"/>
    <w:rsid w:val="002E47EB"/>
    <w:rsid w:val="002E505F"/>
    <w:rsid w:val="002E66D3"/>
    <w:rsid w:val="002F3F50"/>
    <w:rsid w:val="002F7B8D"/>
    <w:rsid w:val="002F7D2E"/>
    <w:rsid w:val="00301B41"/>
    <w:rsid w:val="00305AFE"/>
    <w:rsid w:val="00306C9D"/>
    <w:rsid w:val="00307697"/>
    <w:rsid w:val="0031030C"/>
    <w:rsid w:val="00312A29"/>
    <w:rsid w:val="00312C34"/>
    <w:rsid w:val="00313EC0"/>
    <w:rsid w:val="0032155A"/>
    <w:rsid w:val="0032555F"/>
    <w:rsid w:val="00331139"/>
    <w:rsid w:val="00335532"/>
    <w:rsid w:val="00341B21"/>
    <w:rsid w:val="00342A01"/>
    <w:rsid w:val="00343496"/>
    <w:rsid w:val="003438E6"/>
    <w:rsid w:val="003444BE"/>
    <w:rsid w:val="00344DD4"/>
    <w:rsid w:val="0034528B"/>
    <w:rsid w:val="00350638"/>
    <w:rsid w:val="00363EF2"/>
    <w:rsid w:val="003641EB"/>
    <w:rsid w:val="00367DB1"/>
    <w:rsid w:val="00372340"/>
    <w:rsid w:val="00372E0E"/>
    <w:rsid w:val="00383434"/>
    <w:rsid w:val="003859EB"/>
    <w:rsid w:val="00385EE2"/>
    <w:rsid w:val="00386241"/>
    <w:rsid w:val="00392485"/>
    <w:rsid w:val="003925B2"/>
    <w:rsid w:val="00393449"/>
    <w:rsid w:val="0039643F"/>
    <w:rsid w:val="0039747F"/>
    <w:rsid w:val="003A528D"/>
    <w:rsid w:val="003B21BA"/>
    <w:rsid w:val="003B2EB0"/>
    <w:rsid w:val="003B74CC"/>
    <w:rsid w:val="003B766D"/>
    <w:rsid w:val="003C05BE"/>
    <w:rsid w:val="003C5737"/>
    <w:rsid w:val="003C7EEB"/>
    <w:rsid w:val="003D1B47"/>
    <w:rsid w:val="003D3108"/>
    <w:rsid w:val="003D3F70"/>
    <w:rsid w:val="003D578E"/>
    <w:rsid w:val="003D6C4B"/>
    <w:rsid w:val="003E1A99"/>
    <w:rsid w:val="003E30A5"/>
    <w:rsid w:val="003E4B50"/>
    <w:rsid w:val="003E7F55"/>
    <w:rsid w:val="003F098B"/>
    <w:rsid w:val="003F3D83"/>
    <w:rsid w:val="003F5B5C"/>
    <w:rsid w:val="00400995"/>
    <w:rsid w:val="00400B2E"/>
    <w:rsid w:val="0040205B"/>
    <w:rsid w:val="004050BB"/>
    <w:rsid w:val="00405838"/>
    <w:rsid w:val="00414DCC"/>
    <w:rsid w:val="004158B1"/>
    <w:rsid w:val="00421173"/>
    <w:rsid w:val="0042533B"/>
    <w:rsid w:val="004253E7"/>
    <w:rsid w:val="00425CF1"/>
    <w:rsid w:val="00430349"/>
    <w:rsid w:val="0043135E"/>
    <w:rsid w:val="00431A7B"/>
    <w:rsid w:val="00432218"/>
    <w:rsid w:val="0043420C"/>
    <w:rsid w:val="00435AFB"/>
    <w:rsid w:val="0044213A"/>
    <w:rsid w:val="00444E16"/>
    <w:rsid w:val="004457C3"/>
    <w:rsid w:val="0044726C"/>
    <w:rsid w:val="0045192B"/>
    <w:rsid w:val="00452C7E"/>
    <w:rsid w:val="004565C0"/>
    <w:rsid w:val="00456601"/>
    <w:rsid w:val="00456891"/>
    <w:rsid w:val="00456BB0"/>
    <w:rsid w:val="00460983"/>
    <w:rsid w:val="00465CCB"/>
    <w:rsid w:val="00471B48"/>
    <w:rsid w:val="00480D2D"/>
    <w:rsid w:val="0048200E"/>
    <w:rsid w:val="00483437"/>
    <w:rsid w:val="00485B51"/>
    <w:rsid w:val="00487DF3"/>
    <w:rsid w:val="00490797"/>
    <w:rsid w:val="00494312"/>
    <w:rsid w:val="00496406"/>
    <w:rsid w:val="004A09A3"/>
    <w:rsid w:val="004A6FF1"/>
    <w:rsid w:val="004A7B3E"/>
    <w:rsid w:val="004B6042"/>
    <w:rsid w:val="004C2DBA"/>
    <w:rsid w:val="004C34F6"/>
    <w:rsid w:val="004C556F"/>
    <w:rsid w:val="004C6E54"/>
    <w:rsid w:val="004C7D56"/>
    <w:rsid w:val="004D057B"/>
    <w:rsid w:val="004D3552"/>
    <w:rsid w:val="004D4099"/>
    <w:rsid w:val="004D6145"/>
    <w:rsid w:val="004D70BF"/>
    <w:rsid w:val="004E426F"/>
    <w:rsid w:val="004E573F"/>
    <w:rsid w:val="004E5B49"/>
    <w:rsid w:val="004E77FD"/>
    <w:rsid w:val="004F1CDB"/>
    <w:rsid w:val="004F3214"/>
    <w:rsid w:val="004F5807"/>
    <w:rsid w:val="004F6A69"/>
    <w:rsid w:val="00504AD0"/>
    <w:rsid w:val="00505178"/>
    <w:rsid w:val="00512156"/>
    <w:rsid w:val="00513553"/>
    <w:rsid w:val="00514BF1"/>
    <w:rsid w:val="00515153"/>
    <w:rsid w:val="00516A71"/>
    <w:rsid w:val="00521E28"/>
    <w:rsid w:val="00523110"/>
    <w:rsid w:val="00524BE0"/>
    <w:rsid w:val="005411E6"/>
    <w:rsid w:val="00542EBE"/>
    <w:rsid w:val="005453EF"/>
    <w:rsid w:val="00550FF1"/>
    <w:rsid w:val="00552E50"/>
    <w:rsid w:val="00554364"/>
    <w:rsid w:val="00557EEF"/>
    <w:rsid w:val="005613FA"/>
    <w:rsid w:val="00561570"/>
    <w:rsid w:val="00564B4C"/>
    <w:rsid w:val="00573329"/>
    <w:rsid w:val="005753E8"/>
    <w:rsid w:val="00580E44"/>
    <w:rsid w:val="005810FD"/>
    <w:rsid w:val="00581D75"/>
    <w:rsid w:val="005826C3"/>
    <w:rsid w:val="00582E5E"/>
    <w:rsid w:val="005832CF"/>
    <w:rsid w:val="005838D8"/>
    <w:rsid w:val="00592E11"/>
    <w:rsid w:val="00593BC6"/>
    <w:rsid w:val="00594AA5"/>
    <w:rsid w:val="00594E31"/>
    <w:rsid w:val="005A11C5"/>
    <w:rsid w:val="005A55F5"/>
    <w:rsid w:val="005B03C9"/>
    <w:rsid w:val="005B57B2"/>
    <w:rsid w:val="005C4C24"/>
    <w:rsid w:val="005C4F36"/>
    <w:rsid w:val="005C642E"/>
    <w:rsid w:val="005D0036"/>
    <w:rsid w:val="005D0288"/>
    <w:rsid w:val="005D19DB"/>
    <w:rsid w:val="005D20AF"/>
    <w:rsid w:val="005D254E"/>
    <w:rsid w:val="005D3FB7"/>
    <w:rsid w:val="005E5B09"/>
    <w:rsid w:val="005E5FD0"/>
    <w:rsid w:val="005F04FE"/>
    <w:rsid w:val="005F0C38"/>
    <w:rsid w:val="005F447C"/>
    <w:rsid w:val="006006F1"/>
    <w:rsid w:val="00602F21"/>
    <w:rsid w:val="00606FCE"/>
    <w:rsid w:val="006107DE"/>
    <w:rsid w:val="006133F7"/>
    <w:rsid w:val="006253DD"/>
    <w:rsid w:val="00630552"/>
    <w:rsid w:val="00632EB7"/>
    <w:rsid w:val="00641442"/>
    <w:rsid w:val="00646B67"/>
    <w:rsid w:val="00652D1D"/>
    <w:rsid w:val="00654324"/>
    <w:rsid w:val="0065561D"/>
    <w:rsid w:val="00664133"/>
    <w:rsid w:val="00666289"/>
    <w:rsid w:val="00672087"/>
    <w:rsid w:val="006853C6"/>
    <w:rsid w:val="006948C4"/>
    <w:rsid w:val="006A398F"/>
    <w:rsid w:val="006C0188"/>
    <w:rsid w:val="006C26C1"/>
    <w:rsid w:val="006C5AC1"/>
    <w:rsid w:val="006C62C6"/>
    <w:rsid w:val="006D5D47"/>
    <w:rsid w:val="006E1F35"/>
    <w:rsid w:val="006E4CF3"/>
    <w:rsid w:val="006F15A4"/>
    <w:rsid w:val="006F42C5"/>
    <w:rsid w:val="007036BC"/>
    <w:rsid w:val="00703CF2"/>
    <w:rsid w:val="00704634"/>
    <w:rsid w:val="00705ECC"/>
    <w:rsid w:val="007074A2"/>
    <w:rsid w:val="00710512"/>
    <w:rsid w:val="00713C0B"/>
    <w:rsid w:val="00717096"/>
    <w:rsid w:val="00721B3B"/>
    <w:rsid w:val="007249D6"/>
    <w:rsid w:val="00725078"/>
    <w:rsid w:val="00730188"/>
    <w:rsid w:val="00731988"/>
    <w:rsid w:val="00732977"/>
    <w:rsid w:val="00735983"/>
    <w:rsid w:val="00735FF1"/>
    <w:rsid w:val="00736514"/>
    <w:rsid w:val="00737B16"/>
    <w:rsid w:val="007422D2"/>
    <w:rsid w:val="007429E5"/>
    <w:rsid w:val="00745A4D"/>
    <w:rsid w:val="00746024"/>
    <w:rsid w:val="00746970"/>
    <w:rsid w:val="00752D13"/>
    <w:rsid w:val="007544D5"/>
    <w:rsid w:val="007643F0"/>
    <w:rsid w:val="00766EF1"/>
    <w:rsid w:val="007726F3"/>
    <w:rsid w:val="00773C2C"/>
    <w:rsid w:val="00774720"/>
    <w:rsid w:val="007750F9"/>
    <w:rsid w:val="00780EC4"/>
    <w:rsid w:val="007813E2"/>
    <w:rsid w:val="007817F8"/>
    <w:rsid w:val="0078188E"/>
    <w:rsid w:val="00782585"/>
    <w:rsid w:val="00782E8A"/>
    <w:rsid w:val="007849D0"/>
    <w:rsid w:val="0079426D"/>
    <w:rsid w:val="007A055E"/>
    <w:rsid w:val="007A17DF"/>
    <w:rsid w:val="007A2AEF"/>
    <w:rsid w:val="007A2BB4"/>
    <w:rsid w:val="007B199C"/>
    <w:rsid w:val="007B2A48"/>
    <w:rsid w:val="007B36F1"/>
    <w:rsid w:val="007C02F6"/>
    <w:rsid w:val="007C1438"/>
    <w:rsid w:val="007C1F58"/>
    <w:rsid w:val="007C71E1"/>
    <w:rsid w:val="007C7296"/>
    <w:rsid w:val="007D2BC2"/>
    <w:rsid w:val="007D2C6F"/>
    <w:rsid w:val="007E0598"/>
    <w:rsid w:val="007E7F21"/>
    <w:rsid w:val="007F4F76"/>
    <w:rsid w:val="007F6000"/>
    <w:rsid w:val="007F6902"/>
    <w:rsid w:val="007F6C1E"/>
    <w:rsid w:val="00800142"/>
    <w:rsid w:val="00804F3C"/>
    <w:rsid w:val="00806085"/>
    <w:rsid w:val="008060C8"/>
    <w:rsid w:val="00813B27"/>
    <w:rsid w:val="0081554C"/>
    <w:rsid w:val="00815CD9"/>
    <w:rsid w:val="00815E34"/>
    <w:rsid w:val="00821B2B"/>
    <w:rsid w:val="00823536"/>
    <w:rsid w:val="00824EE4"/>
    <w:rsid w:val="008257EA"/>
    <w:rsid w:val="00826BA6"/>
    <w:rsid w:val="0083358E"/>
    <w:rsid w:val="00835213"/>
    <w:rsid w:val="00836B19"/>
    <w:rsid w:val="00836D70"/>
    <w:rsid w:val="00845327"/>
    <w:rsid w:val="00850022"/>
    <w:rsid w:val="0085394E"/>
    <w:rsid w:val="00854B69"/>
    <w:rsid w:val="00856D95"/>
    <w:rsid w:val="0087151D"/>
    <w:rsid w:val="00871879"/>
    <w:rsid w:val="00872EB7"/>
    <w:rsid w:val="00873F26"/>
    <w:rsid w:val="00876F2C"/>
    <w:rsid w:val="00880133"/>
    <w:rsid w:val="008801B7"/>
    <w:rsid w:val="0088436D"/>
    <w:rsid w:val="00887A04"/>
    <w:rsid w:val="00890821"/>
    <w:rsid w:val="00892B08"/>
    <w:rsid w:val="00894ADF"/>
    <w:rsid w:val="008955AC"/>
    <w:rsid w:val="008A0ED3"/>
    <w:rsid w:val="008A2043"/>
    <w:rsid w:val="008A28B9"/>
    <w:rsid w:val="008A64A2"/>
    <w:rsid w:val="008B021D"/>
    <w:rsid w:val="008B061A"/>
    <w:rsid w:val="008B204B"/>
    <w:rsid w:val="008B2AA1"/>
    <w:rsid w:val="008B4186"/>
    <w:rsid w:val="008C05B8"/>
    <w:rsid w:val="008C4103"/>
    <w:rsid w:val="008C7F3D"/>
    <w:rsid w:val="008D6A84"/>
    <w:rsid w:val="008D6AB7"/>
    <w:rsid w:val="008E3A2B"/>
    <w:rsid w:val="008F2151"/>
    <w:rsid w:val="008F3ED1"/>
    <w:rsid w:val="008F45D6"/>
    <w:rsid w:val="008F4F2C"/>
    <w:rsid w:val="00902CBF"/>
    <w:rsid w:val="00903132"/>
    <w:rsid w:val="00905F5A"/>
    <w:rsid w:val="00907B6A"/>
    <w:rsid w:val="00912385"/>
    <w:rsid w:val="00912BE8"/>
    <w:rsid w:val="00916767"/>
    <w:rsid w:val="00921087"/>
    <w:rsid w:val="00923515"/>
    <w:rsid w:val="009247DF"/>
    <w:rsid w:val="00925235"/>
    <w:rsid w:val="00926202"/>
    <w:rsid w:val="00932029"/>
    <w:rsid w:val="009331C0"/>
    <w:rsid w:val="00936822"/>
    <w:rsid w:val="00936829"/>
    <w:rsid w:val="00945A81"/>
    <w:rsid w:val="009463FF"/>
    <w:rsid w:val="009701D1"/>
    <w:rsid w:val="0097084F"/>
    <w:rsid w:val="0097088E"/>
    <w:rsid w:val="0097225C"/>
    <w:rsid w:val="0097725D"/>
    <w:rsid w:val="0098138D"/>
    <w:rsid w:val="009819E1"/>
    <w:rsid w:val="00982CF2"/>
    <w:rsid w:val="009835C7"/>
    <w:rsid w:val="009909EE"/>
    <w:rsid w:val="009913FA"/>
    <w:rsid w:val="0099191C"/>
    <w:rsid w:val="00991F51"/>
    <w:rsid w:val="00992F8E"/>
    <w:rsid w:val="009946F4"/>
    <w:rsid w:val="009A2137"/>
    <w:rsid w:val="009A4B89"/>
    <w:rsid w:val="009B259F"/>
    <w:rsid w:val="009B5B1C"/>
    <w:rsid w:val="009B67A3"/>
    <w:rsid w:val="009C0319"/>
    <w:rsid w:val="009C2F42"/>
    <w:rsid w:val="009C4C11"/>
    <w:rsid w:val="009D10F5"/>
    <w:rsid w:val="009D2AE9"/>
    <w:rsid w:val="009D2F11"/>
    <w:rsid w:val="009D3772"/>
    <w:rsid w:val="009D5AEC"/>
    <w:rsid w:val="009D6C28"/>
    <w:rsid w:val="009E2F7E"/>
    <w:rsid w:val="009E57FE"/>
    <w:rsid w:val="009E7BC9"/>
    <w:rsid w:val="00A0229D"/>
    <w:rsid w:val="00A02F0F"/>
    <w:rsid w:val="00A04AC9"/>
    <w:rsid w:val="00A05BE6"/>
    <w:rsid w:val="00A10F8D"/>
    <w:rsid w:val="00A11D02"/>
    <w:rsid w:val="00A23492"/>
    <w:rsid w:val="00A31AF4"/>
    <w:rsid w:val="00A332CF"/>
    <w:rsid w:val="00A33A9E"/>
    <w:rsid w:val="00A406CA"/>
    <w:rsid w:val="00A4264D"/>
    <w:rsid w:val="00A42653"/>
    <w:rsid w:val="00A43176"/>
    <w:rsid w:val="00A4479F"/>
    <w:rsid w:val="00A51B51"/>
    <w:rsid w:val="00A5238D"/>
    <w:rsid w:val="00A545C6"/>
    <w:rsid w:val="00A54B41"/>
    <w:rsid w:val="00A64848"/>
    <w:rsid w:val="00A663E5"/>
    <w:rsid w:val="00A70EDD"/>
    <w:rsid w:val="00A81262"/>
    <w:rsid w:val="00A81908"/>
    <w:rsid w:val="00A83199"/>
    <w:rsid w:val="00A834FF"/>
    <w:rsid w:val="00A870D9"/>
    <w:rsid w:val="00A87D34"/>
    <w:rsid w:val="00AA5749"/>
    <w:rsid w:val="00AA59E1"/>
    <w:rsid w:val="00AA7A07"/>
    <w:rsid w:val="00AB1060"/>
    <w:rsid w:val="00AB136B"/>
    <w:rsid w:val="00AB40A8"/>
    <w:rsid w:val="00AC1504"/>
    <w:rsid w:val="00AC3B7F"/>
    <w:rsid w:val="00AD05C0"/>
    <w:rsid w:val="00AD22BF"/>
    <w:rsid w:val="00AD22DE"/>
    <w:rsid w:val="00AD40B1"/>
    <w:rsid w:val="00AF1BD5"/>
    <w:rsid w:val="00AF26CA"/>
    <w:rsid w:val="00B022A2"/>
    <w:rsid w:val="00B03BEF"/>
    <w:rsid w:val="00B03C1F"/>
    <w:rsid w:val="00B12A65"/>
    <w:rsid w:val="00B14527"/>
    <w:rsid w:val="00B14908"/>
    <w:rsid w:val="00B1563E"/>
    <w:rsid w:val="00B20CC9"/>
    <w:rsid w:val="00B2203A"/>
    <w:rsid w:val="00B234A0"/>
    <w:rsid w:val="00B30682"/>
    <w:rsid w:val="00B373CC"/>
    <w:rsid w:val="00B4081B"/>
    <w:rsid w:val="00B409BF"/>
    <w:rsid w:val="00B413B7"/>
    <w:rsid w:val="00B45AF0"/>
    <w:rsid w:val="00B63212"/>
    <w:rsid w:val="00B65D6B"/>
    <w:rsid w:val="00B662B0"/>
    <w:rsid w:val="00B73AD1"/>
    <w:rsid w:val="00B75046"/>
    <w:rsid w:val="00B765ED"/>
    <w:rsid w:val="00B778F3"/>
    <w:rsid w:val="00B77B3C"/>
    <w:rsid w:val="00B85586"/>
    <w:rsid w:val="00B85C42"/>
    <w:rsid w:val="00B901F0"/>
    <w:rsid w:val="00B90689"/>
    <w:rsid w:val="00B91CEF"/>
    <w:rsid w:val="00B969DD"/>
    <w:rsid w:val="00BA05F2"/>
    <w:rsid w:val="00BA733E"/>
    <w:rsid w:val="00BB14D8"/>
    <w:rsid w:val="00BB30C0"/>
    <w:rsid w:val="00BB541B"/>
    <w:rsid w:val="00BB542D"/>
    <w:rsid w:val="00BB77C0"/>
    <w:rsid w:val="00BC177A"/>
    <w:rsid w:val="00BC2799"/>
    <w:rsid w:val="00BC35B5"/>
    <w:rsid w:val="00BC4E35"/>
    <w:rsid w:val="00BC56C7"/>
    <w:rsid w:val="00BC56EE"/>
    <w:rsid w:val="00BD397C"/>
    <w:rsid w:val="00BD3B35"/>
    <w:rsid w:val="00BD4D10"/>
    <w:rsid w:val="00BD5D26"/>
    <w:rsid w:val="00BD76F6"/>
    <w:rsid w:val="00BE171F"/>
    <w:rsid w:val="00BE2F40"/>
    <w:rsid w:val="00BF3103"/>
    <w:rsid w:val="00BF4657"/>
    <w:rsid w:val="00BF4D82"/>
    <w:rsid w:val="00C02881"/>
    <w:rsid w:val="00C03A8A"/>
    <w:rsid w:val="00C06057"/>
    <w:rsid w:val="00C07A58"/>
    <w:rsid w:val="00C110CB"/>
    <w:rsid w:val="00C12B5B"/>
    <w:rsid w:val="00C1759D"/>
    <w:rsid w:val="00C26609"/>
    <w:rsid w:val="00C33566"/>
    <w:rsid w:val="00C363E6"/>
    <w:rsid w:val="00C405A5"/>
    <w:rsid w:val="00C42B2C"/>
    <w:rsid w:val="00C46291"/>
    <w:rsid w:val="00C55B48"/>
    <w:rsid w:val="00C55E62"/>
    <w:rsid w:val="00C6169D"/>
    <w:rsid w:val="00C625F1"/>
    <w:rsid w:val="00C64789"/>
    <w:rsid w:val="00C66332"/>
    <w:rsid w:val="00C66911"/>
    <w:rsid w:val="00C67E0B"/>
    <w:rsid w:val="00C7326A"/>
    <w:rsid w:val="00C74396"/>
    <w:rsid w:val="00C751A0"/>
    <w:rsid w:val="00C8249C"/>
    <w:rsid w:val="00C82C28"/>
    <w:rsid w:val="00C82C67"/>
    <w:rsid w:val="00C84284"/>
    <w:rsid w:val="00C86834"/>
    <w:rsid w:val="00C92540"/>
    <w:rsid w:val="00C95B5A"/>
    <w:rsid w:val="00CA3D4B"/>
    <w:rsid w:val="00CA56DC"/>
    <w:rsid w:val="00CB0332"/>
    <w:rsid w:val="00CB4B8E"/>
    <w:rsid w:val="00CB5C4E"/>
    <w:rsid w:val="00CB62F3"/>
    <w:rsid w:val="00CB7CF5"/>
    <w:rsid w:val="00CC04BC"/>
    <w:rsid w:val="00CC0566"/>
    <w:rsid w:val="00CC4159"/>
    <w:rsid w:val="00CC638A"/>
    <w:rsid w:val="00CC6B5B"/>
    <w:rsid w:val="00CC756C"/>
    <w:rsid w:val="00CD01C5"/>
    <w:rsid w:val="00CD2A10"/>
    <w:rsid w:val="00CD3A47"/>
    <w:rsid w:val="00CD3ED8"/>
    <w:rsid w:val="00CD515F"/>
    <w:rsid w:val="00CE216D"/>
    <w:rsid w:val="00CE6259"/>
    <w:rsid w:val="00CE6CAB"/>
    <w:rsid w:val="00CE770A"/>
    <w:rsid w:val="00CE78AF"/>
    <w:rsid w:val="00CE7F29"/>
    <w:rsid w:val="00CF0AA5"/>
    <w:rsid w:val="00CF661D"/>
    <w:rsid w:val="00CF7140"/>
    <w:rsid w:val="00D00E6E"/>
    <w:rsid w:val="00D01378"/>
    <w:rsid w:val="00D043A1"/>
    <w:rsid w:val="00D05EB6"/>
    <w:rsid w:val="00D10749"/>
    <w:rsid w:val="00D11F15"/>
    <w:rsid w:val="00D204B3"/>
    <w:rsid w:val="00D2159F"/>
    <w:rsid w:val="00D277EB"/>
    <w:rsid w:val="00D27A4E"/>
    <w:rsid w:val="00D309F4"/>
    <w:rsid w:val="00D31743"/>
    <w:rsid w:val="00D3309A"/>
    <w:rsid w:val="00D3417B"/>
    <w:rsid w:val="00D352F4"/>
    <w:rsid w:val="00D35C89"/>
    <w:rsid w:val="00D4098C"/>
    <w:rsid w:val="00D4411A"/>
    <w:rsid w:val="00D4617B"/>
    <w:rsid w:val="00D54D28"/>
    <w:rsid w:val="00D60758"/>
    <w:rsid w:val="00D60A6D"/>
    <w:rsid w:val="00D61632"/>
    <w:rsid w:val="00D64CFC"/>
    <w:rsid w:val="00D65E82"/>
    <w:rsid w:val="00D66975"/>
    <w:rsid w:val="00D66CDC"/>
    <w:rsid w:val="00D67FBC"/>
    <w:rsid w:val="00D75E52"/>
    <w:rsid w:val="00D80365"/>
    <w:rsid w:val="00D82246"/>
    <w:rsid w:val="00D8417F"/>
    <w:rsid w:val="00D9046A"/>
    <w:rsid w:val="00D91623"/>
    <w:rsid w:val="00D93B91"/>
    <w:rsid w:val="00D94AD5"/>
    <w:rsid w:val="00D97576"/>
    <w:rsid w:val="00DA203E"/>
    <w:rsid w:val="00DB017E"/>
    <w:rsid w:val="00DB0E19"/>
    <w:rsid w:val="00DB16D4"/>
    <w:rsid w:val="00DB21EB"/>
    <w:rsid w:val="00DB585E"/>
    <w:rsid w:val="00DB6F17"/>
    <w:rsid w:val="00DC1260"/>
    <w:rsid w:val="00DC26C9"/>
    <w:rsid w:val="00DC692F"/>
    <w:rsid w:val="00DD0AEE"/>
    <w:rsid w:val="00DD203D"/>
    <w:rsid w:val="00DD3DD8"/>
    <w:rsid w:val="00DD4B5A"/>
    <w:rsid w:val="00DD4F55"/>
    <w:rsid w:val="00DD5BE2"/>
    <w:rsid w:val="00DE0D0D"/>
    <w:rsid w:val="00DE2B49"/>
    <w:rsid w:val="00DE4771"/>
    <w:rsid w:val="00DE6405"/>
    <w:rsid w:val="00DE6554"/>
    <w:rsid w:val="00DF03AF"/>
    <w:rsid w:val="00DF06E9"/>
    <w:rsid w:val="00DF26AB"/>
    <w:rsid w:val="00DF6BBE"/>
    <w:rsid w:val="00E01154"/>
    <w:rsid w:val="00E04BB8"/>
    <w:rsid w:val="00E04E63"/>
    <w:rsid w:val="00E110E2"/>
    <w:rsid w:val="00E16064"/>
    <w:rsid w:val="00E227B2"/>
    <w:rsid w:val="00E3630D"/>
    <w:rsid w:val="00E459DD"/>
    <w:rsid w:val="00E4781C"/>
    <w:rsid w:val="00E505C0"/>
    <w:rsid w:val="00E505E7"/>
    <w:rsid w:val="00E55AD5"/>
    <w:rsid w:val="00E57DA6"/>
    <w:rsid w:val="00E63FC1"/>
    <w:rsid w:val="00E66238"/>
    <w:rsid w:val="00E861DE"/>
    <w:rsid w:val="00E86669"/>
    <w:rsid w:val="00E90050"/>
    <w:rsid w:val="00E94101"/>
    <w:rsid w:val="00E95696"/>
    <w:rsid w:val="00EA0C57"/>
    <w:rsid w:val="00EA105F"/>
    <w:rsid w:val="00EA7402"/>
    <w:rsid w:val="00EA7A94"/>
    <w:rsid w:val="00EB5C3E"/>
    <w:rsid w:val="00EB6AE8"/>
    <w:rsid w:val="00EB6F43"/>
    <w:rsid w:val="00EB7A74"/>
    <w:rsid w:val="00EC18F0"/>
    <w:rsid w:val="00EC2627"/>
    <w:rsid w:val="00EC3F80"/>
    <w:rsid w:val="00EC4A0F"/>
    <w:rsid w:val="00EC555B"/>
    <w:rsid w:val="00EC5B19"/>
    <w:rsid w:val="00EC618F"/>
    <w:rsid w:val="00EC6D54"/>
    <w:rsid w:val="00ED6F12"/>
    <w:rsid w:val="00EF1D8A"/>
    <w:rsid w:val="00F014E3"/>
    <w:rsid w:val="00F03571"/>
    <w:rsid w:val="00F12457"/>
    <w:rsid w:val="00F136EE"/>
    <w:rsid w:val="00F150E0"/>
    <w:rsid w:val="00F1769A"/>
    <w:rsid w:val="00F17D54"/>
    <w:rsid w:val="00F3145E"/>
    <w:rsid w:val="00F328EB"/>
    <w:rsid w:val="00F352EE"/>
    <w:rsid w:val="00F402EC"/>
    <w:rsid w:val="00F42280"/>
    <w:rsid w:val="00F46AE9"/>
    <w:rsid w:val="00F5133A"/>
    <w:rsid w:val="00F62295"/>
    <w:rsid w:val="00F7112E"/>
    <w:rsid w:val="00F7212E"/>
    <w:rsid w:val="00F73C17"/>
    <w:rsid w:val="00F754C0"/>
    <w:rsid w:val="00F75F68"/>
    <w:rsid w:val="00F83178"/>
    <w:rsid w:val="00F84805"/>
    <w:rsid w:val="00F8658F"/>
    <w:rsid w:val="00F86F63"/>
    <w:rsid w:val="00F91B50"/>
    <w:rsid w:val="00F9259B"/>
    <w:rsid w:val="00F935A3"/>
    <w:rsid w:val="00F94D0C"/>
    <w:rsid w:val="00F96E11"/>
    <w:rsid w:val="00FA063E"/>
    <w:rsid w:val="00FA4010"/>
    <w:rsid w:val="00FB07C1"/>
    <w:rsid w:val="00FB0B62"/>
    <w:rsid w:val="00FB1923"/>
    <w:rsid w:val="00FB1BA9"/>
    <w:rsid w:val="00FB2A94"/>
    <w:rsid w:val="00FB376A"/>
    <w:rsid w:val="00FB4BB8"/>
    <w:rsid w:val="00FB517D"/>
    <w:rsid w:val="00FB7FF3"/>
    <w:rsid w:val="00FC0C9C"/>
    <w:rsid w:val="00FC6EF2"/>
    <w:rsid w:val="00FC7ADF"/>
    <w:rsid w:val="00FD19D2"/>
    <w:rsid w:val="00FD2A9F"/>
    <w:rsid w:val="00FD6263"/>
    <w:rsid w:val="00FD73A1"/>
    <w:rsid w:val="00FE349A"/>
    <w:rsid w:val="00FE5A57"/>
    <w:rsid w:val="00FE5CBD"/>
    <w:rsid w:val="00FE794C"/>
    <w:rsid w:val="00FF0972"/>
    <w:rsid w:val="00FF1A2A"/>
    <w:rsid w:val="00FF2A67"/>
    <w:rsid w:val="00FF3DEE"/>
    <w:rsid w:val="00FF54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515135"/>
  <w15:docId w15:val="{428D9684-0739-4434-8196-EDBB1E7C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customStyle="1" w:styleId="UnresolvedMention">
    <w:name w:val="Unresolved Mention"/>
    <w:basedOn w:val="DefaultParagraphFont"/>
    <w:uiPriority w:val="99"/>
    <w:semiHidden/>
    <w:unhideWhenUsed/>
    <w:rsid w:val="00774720"/>
    <w:rPr>
      <w:color w:val="605E5C"/>
      <w:shd w:val="clear" w:color="auto" w:fill="E1DFDD"/>
    </w:rPr>
  </w:style>
  <w:style w:type="character" w:customStyle="1" w:styleId="A2">
    <w:name w:val="A2"/>
    <w:uiPriority w:val="99"/>
    <w:rsid w:val="00164F3D"/>
    <w:rPr>
      <w:rFonts w:cs="Helvetica LT Std Light"/>
      <w:color w:val="000000"/>
      <w:sz w:val="15"/>
      <w:szCs w:val="15"/>
    </w:rPr>
  </w:style>
  <w:style w:type="character" w:customStyle="1" w:styleId="groupname">
    <w:name w:val="groupname"/>
    <w:basedOn w:val="DefaultParagraphFont"/>
    <w:rsid w:val="004D4099"/>
  </w:style>
  <w:style w:type="character" w:customStyle="1" w:styleId="author">
    <w:name w:val="author"/>
    <w:basedOn w:val="DefaultParagraphFont"/>
    <w:rsid w:val="004D4099"/>
  </w:style>
  <w:style w:type="character" w:customStyle="1" w:styleId="pubyear">
    <w:name w:val="pubyear"/>
    <w:basedOn w:val="DefaultParagraphFont"/>
    <w:rsid w:val="004D4099"/>
  </w:style>
  <w:style w:type="character" w:customStyle="1" w:styleId="articletitle">
    <w:name w:val="articletitle"/>
    <w:basedOn w:val="DefaultParagraphFont"/>
    <w:rsid w:val="004D4099"/>
  </w:style>
  <w:style w:type="paragraph" w:styleId="ListParagraph">
    <w:name w:val="List Paragraph"/>
    <w:basedOn w:val="Normal"/>
    <w:uiPriority w:val="34"/>
    <w:qFormat/>
    <w:rsid w:val="00856D95"/>
    <w:pPr>
      <w:ind w:left="720"/>
      <w:contextualSpacing/>
    </w:pPr>
  </w:style>
  <w:style w:type="paragraph" w:styleId="FootnoteText">
    <w:name w:val="footnote text"/>
    <w:basedOn w:val="Normal"/>
    <w:link w:val="FootnoteTextChar"/>
    <w:uiPriority w:val="99"/>
    <w:semiHidden/>
    <w:unhideWhenUsed/>
    <w:rsid w:val="00732977"/>
    <w:rPr>
      <w:sz w:val="20"/>
      <w:szCs w:val="20"/>
    </w:rPr>
  </w:style>
  <w:style w:type="character" w:customStyle="1" w:styleId="FootnoteTextChar">
    <w:name w:val="Footnote Text Char"/>
    <w:basedOn w:val="DefaultParagraphFont"/>
    <w:link w:val="FootnoteText"/>
    <w:uiPriority w:val="99"/>
    <w:semiHidden/>
    <w:rsid w:val="00732977"/>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732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4445">
      <w:bodyDiv w:val="1"/>
      <w:marLeft w:val="0"/>
      <w:marRight w:val="0"/>
      <w:marTop w:val="0"/>
      <w:marBottom w:val="0"/>
      <w:divBdr>
        <w:top w:val="none" w:sz="0" w:space="0" w:color="auto"/>
        <w:left w:val="none" w:sz="0" w:space="0" w:color="auto"/>
        <w:bottom w:val="none" w:sz="0" w:space="0" w:color="auto"/>
        <w:right w:val="none" w:sz="0" w:space="0" w:color="auto"/>
      </w:divBdr>
    </w:div>
    <w:div w:id="1203444517">
      <w:bodyDiv w:val="1"/>
      <w:marLeft w:val="0"/>
      <w:marRight w:val="0"/>
      <w:marTop w:val="0"/>
      <w:marBottom w:val="0"/>
      <w:divBdr>
        <w:top w:val="none" w:sz="0" w:space="0" w:color="auto"/>
        <w:left w:val="none" w:sz="0" w:space="0" w:color="auto"/>
        <w:bottom w:val="none" w:sz="0" w:space="0" w:color="auto"/>
        <w:right w:val="none" w:sz="0" w:space="0" w:color="auto"/>
      </w:divBdr>
    </w:div>
    <w:div w:id="1968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978924002523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i/item/9789240025233" TargetMode="External"/><Relationship Id="rId17"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hyperlink" Target="https://doi.org/10.2903/j.efsa.2020.62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0025233" TargetMode="External"/><Relationship Id="rId5" Type="http://schemas.openxmlformats.org/officeDocument/2006/relationships/numbering" Target="numbering.xml"/><Relationship Id="rId15" Type="http://schemas.openxmlformats.org/officeDocument/2006/relationships/hyperlink" Target="https://www.efsa.europa.eu/en/efsajournal/pub/62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sa.europa.eu/en/efsajournal/pub/63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s.jsf?num=C-52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8B84701A7C24CB830871950410806" ma:contentTypeVersion="2" ma:contentTypeDescription="Create a new document." ma:contentTypeScope="" ma:versionID="01a818462228622e21e180e1306599d4">
  <xsd:schema xmlns:xsd="http://www.w3.org/2001/XMLSchema" xmlns:xs="http://www.w3.org/2001/XMLSchema" xmlns:p="http://schemas.microsoft.com/office/2006/metadata/properties" xmlns:ns2="4df6868f-6eb3-4b76-8e78-f04eb150017a" targetNamespace="http://schemas.microsoft.com/office/2006/metadata/properties" ma:root="true" ma:fieldsID="6bdc045156db43c6cd102d62760f0ddf" ns2:_="">
    <xsd:import namespace="4df6868f-6eb3-4b76-8e78-f04eb15001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6868f-6eb3-4b76-8e78-f04eb1500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E52DD9-7851-4D0E-9878-68616991750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4df6868f-6eb3-4b76-8e78-f04eb150017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0941BD-2829-49F9-B585-610DC147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6868f-6eb3-4b76-8e78-f04eb1500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5023F-11BE-47B4-A83E-5EED9A03F53D}">
  <ds:schemaRefs>
    <ds:schemaRef ds:uri="http://schemas.microsoft.com/sharepoint/v3/contenttype/forms"/>
  </ds:schemaRefs>
</ds:datastoreItem>
</file>

<file path=customXml/itemProps4.xml><?xml version="1.0" encoding="utf-8"?>
<ds:datastoreItem xmlns:ds="http://schemas.openxmlformats.org/officeDocument/2006/customXml" ds:itemID="{39F7DE3F-9813-4A6C-897F-21174E19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4560</Words>
  <Characters>26223</Characters>
  <Application>Microsoft Office Word</Application>
  <DocSecurity>4</DocSecurity>
  <Lines>460</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30669</CharactersWithSpaces>
  <SharedDoc>false</SharedDoc>
  <HLinks>
    <vt:vector size="48" baseType="variant">
      <vt:variant>
        <vt:i4>7405656</vt:i4>
      </vt:variant>
      <vt:variant>
        <vt:i4>21</vt:i4>
      </vt:variant>
      <vt:variant>
        <vt:i4>0</vt:i4>
      </vt:variant>
      <vt:variant>
        <vt:i4>5</vt:i4>
      </vt:variant>
      <vt:variant>
        <vt:lpwstr>mailto:secretariat@cbd.int</vt:lpwstr>
      </vt:variant>
      <vt:variant>
        <vt:lpwstr/>
      </vt:variant>
      <vt:variant>
        <vt:i4>1179661</vt:i4>
      </vt:variant>
      <vt:variant>
        <vt:i4>18</vt:i4>
      </vt:variant>
      <vt:variant>
        <vt:i4>0</vt:i4>
      </vt:variant>
      <vt:variant>
        <vt:i4>5</vt:i4>
      </vt:variant>
      <vt:variant>
        <vt:lpwstr>https://doi.org/10.2903/j.efsa.2020.6297</vt:lpwstr>
      </vt:variant>
      <vt:variant>
        <vt:lpwstr/>
      </vt:variant>
      <vt:variant>
        <vt:i4>1769538</vt:i4>
      </vt:variant>
      <vt:variant>
        <vt:i4>15</vt:i4>
      </vt:variant>
      <vt:variant>
        <vt:i4>0</vt:i4>
      </vt:variant>
      <vt:variant>
        <vt:i4>5</vt:i4>
      </vt:variant>
      <vt:variant>
        <vt:lpwstr>https://www.who.int/publications/i/item/9789240025233</vt:lpwstr>
      </vt:variant>
      <vt:variant>
        <vt:lpwstr/>
      </vt:variant>
      <vt:variant>
        <vt:i4>1769538</vt:i4>
      </vt:variant>
      <vt:variant>
        <vt:i4>12</vt:i4>
      </vt:variant>
      <vt:variant>
        <vt:i4>0</vt:i4>
      </vt:variant>
      <vt:variant>
        <vt:i4>5</vt:i4>
      </vt:variant>
      <vt:variant>
        <vt:lpwstr>https://www.who.int/publications/i/item/9789240025233</vt:lpwstr>
      </vt:variant>
      <vt:variant>
        <vt:lpwstr/>
      </vt:variant>
      <vt:variant>
        <vt:i4>1769538</vt:i4>
      </vt:variant>
      <vt:variant>
        <vt:i4>9</vt:i4>
      </vt:variant>
      <vt:variant>
        <vt:i4>0</vt:i4>
      </vt:variant>
      <vt:variant>
        <vt:i4>5</vt:i4>
      </vt:variant>
      <vt:variant>
        <vt:lpwstr>https://www.who.int/publications/i/item/9789240025233</vt:lpwstr>
      </vt:variant>
      <vt:variant>
        <vt:lpwstr/>
      </vt:variant>
      <vt:variant>
        <vt:i4>1245236</vt:i4>
      </vt:variant>
      <vt:variant>
        <vt:i4>6</vt:i4>
      </vt:variant>
      <vt:variant>
        <vt:i4>0</vt:i4>
      </vt:variant>
      <vt:variant>
        <vt:i4>5</vt:i4>
      </vt:variant>
      <vt:variant>
        <vt:lpwstr>mailto:Reinhilde.SCHOONJANS@efsa.europa.eu</vt:lpwstr>
      </vt:variant>
      <vt:variant>
        <vt:lpwstr/>
      </vt:variant>
      <vt:variant>
        <vt:i4>7012428</vt:i4>
      </vt:variant>
      <vt:variant>
        <vt:i4>3</vt:i4>
      </vt:variant>
      <vt:variant>
        <vt:i4>0</vt:i4>
      </vt:variant>
      <vt:variant>
        <vt:i4>5</vt:i4>
      </vt:variant>
      <vt:variant>
        <vt:lpwstr>mailto:Nikoletta.PAPADOPOULOU@efsa.europa.eu</vt:lpwstr>
      </vt:variant>
      <vt:variant>
        <vt:lpwstr/>
      </vt:variant>
      <vt:variant>
        <vt:i4>2752514</vt:i4>
      </vt:variant>
      <vt:variant>
        <vt:i4>0</vt:i4>
      </vt:variant>
      <vt:variant>
        <vt:i4>0</vt:i4>
      </vt:variant>
      <vt:variant>
        <vt:i4>5</vt:i4>
      </vt:variant>
      <vt:variant>
        <vt:lpwstr>mailto:Yann.DEVOS@efsa.europa.eu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cung</dc:creator>
  <cp:keywords/>
  <cp:lastModifiedBy>DE BURLET Fergus (ENV)</cp:lastModifiedBy>
  <cp:revision>2</cp:revision>
  <dcterms:created xsi:type="dcterms:W3CDTF">2021-07-08T13:20:00Z</dcterms:created>
  <dcterms:modified xsi:type="dcterms:W3CDTF">2021-07-08T13:20:00Z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0x0101006898B84701A7C24CB830871950410806</vt:lpwstr>
  </property>
</Properties>
</file>