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bookmarkStart w:id="0" w:name="_GoBack"/>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656111A9"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 xml:space="preserve">limitations </w:t>
      </w:r>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that overcome natural physiological reproductive or recombination barriers and that are not techniques 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385ECF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xml:space="preserve">. This genetic material may have </w:t>
      </w:r>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Bt-derived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lastRenderedPageBreak/>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n-CA" w:eastAsia="en-CA"/>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 can be summarized as follows:</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w:t>
      </w:r>
      <w:r w:rsidR="00E44FFA" w:rsidRPr="008F6742">
        <w:rPr>
          <w:rFonts w:ascii="Times New Roman" w:eastAsia="MS Mincho" w:hAnsi="Times New Roman" w:cs="Times New Roman"/>
          <w:lang w:val="en-US" w:eastAsia="ja-JP"/>
        </w:rPr>
        <w:lastRenderedPageBreak/>
        <w:t xml:space="preserve">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n-CA" w:eastAsia="en-CA"/>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2D3B845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 or microinjection.</w:t>
      </w:r>
    </w:p>
    <w:p w14:paraId="42407149" w14:textId="134B74A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Through selection, many experimental LMOs are discarded and only a few events may reach the stage of commercialization.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n-CA" w:eastAsia="en-CA"/>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1" w:name="1GeneralintroductionintoGMdetectionmetho"/>
      <w:bookmarkEnd w:id="1"/>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lastRenderedPageBreak/>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42025B7D"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Either the DNA or the protein molecules can be targeted for the detection or identification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087" w:type="dxa"/>
        <w:jc w:val="center"/>
        <w:tblLook w:val="04A0" w:firstRow="1" w:lastRow="0" w:firstColumn="1" w:lastColumn="0" w:noHBand="0" w:noVBand="1"/>
      </w:tblPr>
      <w:tblGrid>
        <w:gridCol w:w="1384"/>
        <w:gridCol w:w="891"/>
        <w:gridCol w:w="3405"/>
        <w:gridCol w:w="3407"/>
      </w:tblGrid>
      <w:tr w:rsidR="001C23DC" w:rsidRPr="001C23DC" w14:paraId="19D6860A" w14:textId="77777777" w:rsidTr="0051503D">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1C23DC" w:rsidRPr="001C23DC" w14:paraId="01ABE600"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A17B6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08A9A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1F61B00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Often low sensitivity (Limit of detection 0.1-1%)</w:t>
            </w:r>
          </w:p>
        </w:tc>
      </w:tr>
      <w:tr w:rsidR="001C23DC" w:rsidRPr="001C23DC" w14:paraId="69F4B5F8"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AA34A7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256CA77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54AE39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50ACA03"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1C23DC" w:rsidRPr="001C23DC" w14:paraId="116A5C36"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BF5E5F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847D7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274AD59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7CEFAA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41083849"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8604F12"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C63C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3454FF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519275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9ADB75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2ED4EDA6"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58813DA1"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64AA3F8"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4B64F5A"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3405" w:type="dxa"/>
            <w:tcBorders>
              <w:top w:val="nil"/>
              <w:left w:val="nil"/>
              <w:bottom w:val="single" w:sz="8" w:space="0" w:color="auto"/>
              <w:right w:val="single" w:sz="8" w:space="0" w:color="auto"/>
            </w:tcBorders>
            <w:shd w:val="clear" w:color="auto" w:fill="auto"/>
            <w:vAlign w:val="center"/>
            <w:hideMark/>
          </w:tcPr>
          <w:p w14:paraId="79C58501"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35F8DC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BA1741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6F1752EE"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hyperlink r:id="rId11" w:history="1">
        <w:r w:rsidRPr="0051503D">
          <w:rPr>
            <w:rFonts w:asciiTheme="majorBidi" w:eastAsia="MS Minngs" w:hAnsiTheme="majorBidi" w:cstheme="majorBidi"/>
            <w:color w:val="0000FF"/>
            <w:u w:val="single"/>
            <w:lang w:val="en-US"/>
          </w:rPr>
          <w:t>http://www.gmotesting.com/Testing-Options</w:t>
        </w:r>
      </w:hyperlink>
      <w:r w:rsidRPr="0051503D">
        <w:rPr>
          <w:rFonts w:asciiTheme="majorBidi" w:eastAsia="MS Minngs" w:hAnsiTheme="majorBidi" w:cstheme="majorBidi"/>
          <w:lang w:val="en-US"/>
        </w:rPr>
        <w:t xml:space="preserve"> </w:t>
      </w:r>
    </w:p>
    <w:tbl>
      <w:tblPr>
        <w:tblW w:w="10180" w:type="dxa"/>
        <w:jc w:val="center"/>
        <w:tblLook w:val="04A0" w:firstRow="1" w:lastRow="0" w:firstColumn="1" w:lastColumn="0" w:noHBand="0" w:noVBand="1"/>
      </w:tblPr>
      <w:tblGrid>
        <w:gridCol w:w="1384"/>
        <w:gridCol w:w="891"/>
        <w:gridCol w:w="1093"/>
        <w:gridCol w:w="3405"/>
        <w:gridCol w:w="3407"/>
      </w:tblGrid>
      <w:tr w:rsidR="001C23DC" w:rsidRPr="0074688C" w14:paraId="1BDC55D5" w14:textId="77777777" w:rsidTr="00F96C54">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4AB6"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BB0FBE3"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Test</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FBC102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Measures</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2CC47618"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07F34CF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Disadvantages</w:t>
            </w:r>
          </w:p>
        </w:tc>
      </w:tr>
      <w:tr w:rsidR="001C23DC" w:rsidRPr="0074688C" w14:paraId="32517DD4"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D5856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Immunologic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06B7C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Strip test</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9A3AB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01E1"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5E710EC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Often low sensitivity (Limit of detection 0.1-1%)</w:t>
            </w:r>
          </w:p>
        </w:tc>
      </w:tr>
      <w:tr w:rsidR="001C23DC" w:rsidRPr="0074688C" w14:paraId="0BC080E4"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7B5500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06F03BA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92E6258"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37FA58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22FE2AE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not performed with laboratory controls, operator error resulting in inaccurate test results can sometimes be an issue.</w:t>
            </w:r>
          </w:p>
        </w:tc>
      </w:tr>
      <w:tr w:rsidR="001C23DC" w:rsidRPr="0074688C" w14:paraId="1E6FB75E"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1D5B4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844AD2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0DB4A2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65D03AC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06ADB67"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DF71DCC"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EDA466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6CC883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F91B7FB"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44C25E0"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4855C86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4DB85B84"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C3EDBE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87CB2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ELISA</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2E891F3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5D7E38A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4E4F27D8"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F21DAE6"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49B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41D44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F794F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BDA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F24BAD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05A0FC15"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D773E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485862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6177A8E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696BA7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1F7C7B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7C184BBF"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0BF364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Genetic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3638F85"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PCR</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8EF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DNA</w:t>
            </w:r>
          </w:p>
        </w:tc>
        <w:tc>
          <w:tcPr>
            <w:tcW w:w="3405" w:type="dxa"/>
            <w:tcBorders>
              <w:top w:val="nil"/>
              <w:left w:val="nil"/>
              <w:bottom w:val="single" w:sz="8" w:space="0" w:color="auto"/>
              <w:right w:val="single" w:sz="8" w:space="0" w:color="auto"/>
            </w:tcBorders>
            <w:shd w:val="clear" w:color="auto" w:fill="auto"/>
            <w:vAlign w:val="center"/>
            <w:hideMark/>
          </w:tcPr>
          <w:p w14:paraId="37C9CB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90FBC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4254EDF4"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1ED6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91D664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7EAD3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6CFC0F3"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6B29EC23"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4256E0D"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F39919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E923F0A"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B895A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5F70CB3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05302C70"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2FE8F7F"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4AFBA66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332B109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629190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41B2BC2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00E9C386"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3C6C8AF5"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1AD3CE3C"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A9BA3A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FE15927"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26007E"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33ED94A7" w14:textId="77777777" w:rsidR="001C23DC" w:rsidRPr="0074688C" w:rsidRDefault="001C23DC" w:rsidP="001C23DC">
            <w:pPr>
              <w:keepNext/>
              <w:keepLines/>
              <w:spacing w:after="0"/>
              <w:rPr>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2" w:name="2IntroductiontoproteinversusDNAapproache"/>
      <w:bookmarkEnd w:id="2"/>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77777777"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is performed through a simple procedure of extracting total crude proteins from a sample by adding water or buffer followed by sample homogenization. </w:t>
      </w:r>
    </w:p>
    <w:p w14:paraId="3389A904" w14:textId="7BFF887F"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r w:rsidR="00C61A2F">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a semi-quantitative interpretation of the result. </w:t>
      </w:r>
    </w:p>
    <w:p w14:paraId="4325DF56" w14:textId="6E264EA4"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more sensitive than the lateral flow strip method.</w:t>
      </w:r>
    </w:p>
    <w:p w14:paraId="6754AA98" w14:textId="7B4EC49F"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 xml:space="preserve">protein is indicated as a distinct band on the membrane or film. The advantage of this method is that it is sensitive and may detect different isoforms of the target protein. </w:t>
      </w:r>
    </w:p>
    <w:p w14:paraId="1EF5BAC3" w14:textId="21342EB5"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r>
        <w:rPr>
          <w:rFonts w:ascii="Times New Roman" w:eastAsia="MS Mincho" w:hAnsi="Times New Roman" w:cs="Times New Roman"/>
          <w:lang w:eastAsia="ja-JP"/>
        </w:rPr>
        <w:t>, and may be affected by of cross-reactivity between the antibody and native forms of the same protein that may be present in the organism</w:t>
      </w:r>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77777777" w:rsidR="00E44FFA" w:rsidRPr="00B4451F" w:rsidRDefault="00E44FFA" w:rsidP="0051503D">
      <w:pPr>
        <w:spacing w:before="240" w:after="240"/>
        <w:jc w:val="both"/>
        <w:rPr>
          <w:rFonts w:ascii="Times New Roman" w:eastAsia="Times New Roman" w:hAnsi="Times New Roman" w:cs="Times New Roman"/>
          <w:lang w:val="en-CA"/>
        </w:rPr>
      </w:pPr>
      <w:r w:rsidRPr="008052DE">
        <w:rPr>
          <w:rFonts w:ascii="Times New Roman" w:eastAsia="Times New Roman" w:hAnsi="Times New Roman" w:cs="Times New Roman"/>
          <w:b/>
          <w:bCs/>
          <w:lang w:val="en-CA"/>
        </w:rPr>
        <w:t>DNA-based methods for LMO detection</w:t>
      </w:r>
    </w:p>
    <w:p w14:paraId="36BB8020" w14:textId="16D38A9E" w:rsidR="00E44FF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30166DFF"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w:t>
      </w:r>
      <w:r w:rsidR="00E44FFA" w:rsidRPr="00B4451F">
        <w:rPr>
          <w:rFonts w:ascii="Times New Roman" w:eastAsia="MS Mincho" w:hAnsi="Times New Roman" w:cs="Times New Roman"/>
          <w:lang w:eastAsia="ja-JP"/>
        </w:rPr>
        <w:lastRenderedPageBreak/>
        <w:t>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3F2FCA0C" w14:textId="5043F3E6" w:rsidR="00723C05" w:rsidRDefault="00723C05">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00E44FFA"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00E44FFA"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00E44FFA"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r w:rsidR="00FE01AE">
        <w:rPr>
          <w:rFonts w:ascii="Times New Roman" w:eastAsia="MS Mincho" w:hAnsi="Times New Roman" w:cs="Times New Roman"/>
          <w:lang w:eastAsia="ja-JP"/>
        </w:rPr>
        <w:t xml:space="preserve"> 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en-CA" w:eastAsia="en-CA"/>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p>
    <w:p w14:paraId="656F6888" w14:textId="6FDF03C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FootnoteReferenc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approaches can also be used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p>
    <w:p w14:paraId="0B9E2A63" w14:textId="77777777"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Comparison between protein- and DNA-based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449291A6"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3"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3"/>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distinguish between different LMO events that may be present in a single sample. In contrast, western blots 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3725B159"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However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622DCBFC"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possible </w:t>
      </w:r>
      <w:r w:rsidRPr="00B4451F">
        <w:rPr>
          <w:rFonts w:ascii="Times New Roman" w:eastAsia="MS Mincho" w:hAnsi="Times New Roman" w:cs="Times New Roman"/>
          <w:lang w:eastAsia="ja-JP"/>
        </w:rPr>
        <w:t xml:space="preserve"> </w:t>
      </w:r>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with </w:t>
      </w:r>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4" w:name="3ChallengesinLMOdetectionandnewtechnolog"/>
      <w:bookmarkEnd w:id="4"/>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5"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5"/>
    </w:p>
    <w:p w14:paraId="1418F4E5" w14:textId="0309E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6"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The development of harmonized performance criteria should aim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Thus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6"/>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7"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7"/>
    </w:p>
    <w:p w14:paraId="473A6035" w14:textId="3B28911C"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w:t>
      </w:r>
      <w:proofErr w:type="spellStart"/>
      <w:r w:rsidRPr="00B4451F">
        <w:rPr>
          <w:rFonts w:ascii="Times New Roman" w:eastAsia="MS Mincho" w:hAnsi="Times New Roman" w:cs="Times New Roman"/>
          <w:lang w:eastAsia="ja-JP"/>
        </w:rPr>
        <w:t>notifiers</w:t>
      </w:r>
      <w:proofErr w:type="spellEnd"/>
      <w:r w:rsidRPr="00B4451F">
        <w:rPr>
          <w:rFonts w:ascii="Times New Roman" w:eastAsia="MS Mincho" w:hAnsi="Times New Roman" w:cs="Times New Roman"/>
          <w:lang w:eastAsia="ja-JP"/>
        </w:rPr>
        <w:t xml:space="preserve">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Furthermore, some</w:t>
      </w:r>
      <w:r w:rsidRPr="00B4451F">
        <w:rPr>
          <w:rFonts w:ascii="Times New Roman" w:eastAsia="MS Mincho" w:hAnsi="Times New Roman" w:cs="Times New Roman"/>
          <w:lang w:eastAsia="ja-JP"/>
        </w:rPr>
        <w:t xml:space="preserve"> LMO detection laboratories do not have access to reference material for the specific LMO event 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09C10972"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i</w:t>
      </w:r>
      <w:r w:rsidR="00E44FFA" w:rsidRPr="00B4451F">
        <w:rPr>
          <w:rFonts w:ascii="Times New Roman" w:eastAsia="MS Mincho" w:hAnsi="Times New Roman" w:cs="Times New Roman"/>
          <w:lang w:eastAsia="ja-JP"/>
        </w:rPr>
        <w:t xml:space="preserve">t may be worthwhile for regulatory systems to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r w:rsidR="00D4434C">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 xml:space="preserve">laboratory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could be </w:t>
      </w:r>
      <w:r>
        <w:rPr>
          <w:rFonts w:ascii="Times New Roman" w:eastAsia="MS Mincho" w:hAnsi="Times New Roman" w:cs="Times New Roman"/>
          <w:lang w:eastAsia="ja-JP"/>
        </w:rPr>
        <w:t>asked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 the necessary sequence information so that the method can be verified </w:t>
      </w:r>
      <w:r>
        <w:rPr>
          <w:rFonts w:ascii="Times New Roman" w:eastAsia="MS Mincho" w:hAnsi="Times New Roman" w:cs="Times New Roman"/>
          <w:lang w:eastAsia="ja-JP"/>
        </w:rPr>
        <w:t>or to</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cover </w:t>
      </w:r>
      <w:r w:rsidR="00E44FFA" w:rsidRPr="00B4451F">
        <w:rPr>
          <w:rFonts w:ascii="Times New Roman" w:eastAsia="MS Mincho" w:hAnsi="Times New Roman" w:cs="Times New Roman"/>
          <w:lang w:eastAsia="ja-JP"/>
        </w:rPr>
        <w:t xml:space="preserve">the costs of method </w:t>
      </w:r>
      <w:r>
        <w:rPr>
          <w:rFonts w:ascii="Times New Roman" w:eastAsia="MS Mincho" w:hAnsi="Times New Roman" w:cs="Times New Roman"/>
          <w:lang w:eastAsia="ja-JP"/>
        </w:rPr>
        <w:t>verification</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by the laboratory performing LMO detection as part of the regulatory requirements of a country</w:t>
      </w:r>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060BB3A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must 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the potential presence of unapproved LMO events is also 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w:t>
      </w:r>
      <w:r w:rsidRPr="00B4451F">
        <w:rPr>
          <w:rFonts w:ascii="Times New Roman" w:eastAsia="MS Mincho" w:hAnsi="Times New Roman" w:cs="Times New Roman"/>
          <w:lang w:eastAsia="ja-JP"/>
        </w:rPr>
        <w:lastRenderedPageBreak/>
        <w:t xml:space="preserve">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but</w:t>
      </w:r>
      <w:r w:rsidR="00BE1F8D">
        <w:rPr>
          <w:rFonts w:ascii="Times New Roman" w:eastAsia="MS Mincho" w:hAnsi="Times New Roman" w:cs="Times New Roman"/>
          <w:lang w:eastAsia="ja-JP"/>
        </w:rPr>
        <w:t xml:space="preserve"> 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new plant breeding techniques where the resulting </w:t>
      </w:r>
      <w:r w:rsidR="00F54E47" w:rsidRPr="00BE1F8D">
        <w:rPr>
          <w:rFonts w:ascii="Times New Roman" w:eastAsia="MS Mincho" w:hAnsi="Times New Roman" w:cs="Times New Roman"/>
          <w:lang w:eastAsia="ja-JP"/>
        </w:rPr>
        <w:t xml:space="preserve">LMO </w:t>
      </w:r>
      <w:r w:rsidR="00F54E47">
        <w:rPr>
          <w:rFonts w:ascii="Times New Roman" w:eastAsia="MS Mincho" w:hAnsi="Times New Roman" w:cs="Times New Roman"/>
          <w:lang w:eastAsia="ja-JP"/>
        </w:rPr>
        <w:t>includes</w:t>
      </w:r>
      <w:r w:rsidR="00F54E47" w:rsidRPr="00BE1F8D">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a</w:t>
      </w:r>
      <w:r w:rsidR="00F54E47" w:rsidRPr="00BE1F8D">
        <w:rPr>
          <w:rFonts w:ascii="Times New Roman" w:eastAsia="MS Mincho" w:hAnsi="Times New Roman" w:cs="Times New Roman"/>
          <w:lang w:eastAsia="ja-JP"/>
        </w:rPr>
        <w:t xml:space="preserve"> genetic modification that cannot be readily detected or resembles naturally occurring genetic elements.</w:t>
      </w:r>
    </w:p>
    <w:p w14:paraId="25117054" w14:textId="01D59E8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n-CA" w:eastAsia="en-CA"/>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lastRenderedPageBreak/>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4"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11358262"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preforming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preforming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FootnoteReferenc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123D1FA3"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w:t>
      </w:r>
      <w:proofErr w:type="spellStart"/>
      <w:r w:rsidRPr="00B4451F">
        <w:rPr>
          <w:rFonts w:ascii="Times New Roman" w:eastAsia="Calibri" w:hAnsi="Times New Roman" w:cs="Times New Roman"/>
          <w:bCs/>
          <w:iCs/>
          <w:szCs w:val="28"/>
          <w:lang w:val="en-US" w:eastAsia="x-none"/>
        </w:rPr>
        <w:t>Agri</w:t>
      </w:r>
      <w:proofErr w:type="spellEnd"/>
      <w:r w:rsidRPr="00B4451F">
        <w:rPr>
          <w:rFonts w:ascii="Times New Roman" w:eastAsia="Calibri" w:hAnsi="Times New Roman" w:cs="Times New Roman"/>
          <w:bCs/>
          <w:iCs/>
          <w:szCs w:val="28"/>
          <w:lang w:val="en-US" w:eastAsia="x-none"/>
        </w:rPr>
        <w:t xml:space="preserve">-biotech Applications (ISAAA), the worldwide area cultivated with LM crops has been growing steadily since 1996, and in 2016, the cultivation of LM crops accounted for 185.1 million hectares. </w:t>
      </w:r>
    </w:p>
    <w:p w14:paraId="6E17AB9F" w14:textId="4AFAE6BC"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 xml:space="preserve">herbicide tolerance and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n-CA" w:eastAsia="en-CA"/>
        </w:rPr>
        <w:lastRenderedPageBreak/>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hyperlink r:id="rId16"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6DDA23A9"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 xml:space="preserve">Amongst the agronomic traits which have been introduced include 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r w:rsidR="008A1980">
        <w:rPr>
          <w:rFonts w:ascii="Times New Roman" w:eastAsia="Calibri" w:hAnsi="Times New Roman" w:cs="Times New Roman"/>
          <w:b/>
          <w:bCs/>
          <w:i/>
          <w:iCs/>
          <w:sz w:val="28"/>
          <w:szCs w:val="28"/>
          <w:lang w:val="en-ZA" w:eastAsia="x-none"/>
        </w:rPr>
        <w:t>F</w:t>
      </w:r>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3438E7D" w:rsidR="00E44FFA" w:rsidRPr="00B4451F" w:rsidRDefault="009966D3"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country that is working towards 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r w:rsidR="00D938D3">
        <w:rPr>
          <w:rFonts w:ascii="Times New Roman" w:eastAsia="MS Mincho" w:hAnsi="Times New Roman" w:cs="Times New Roman"/>
          <w:lang w:eastAsia="ja-JP"/>
        </w:rPr>
        <w:t xml:space="preserve">First, </w:t>
      </w:r>
      <w:r>
        <w:rPr>
          <w:rFonts w:ascii="Times New Roman" w:eastAsia="MS Mincho" w:hAnsi="Times New Roman" w:cs="Times New Roman"/>
          <w:lang w:eastAsia="ja-JP"/>
        </w:rPr>
        <w:t>assessing</w:t>
      </w:r>
      <w:r w:rsidR="00E44FFA" w:rsidRPr="00B4451F">
        <w:rPr>
          <w:rFonts w:ascii="Times New Roman" w:eastAsia="MS Mincho" w:hAnsi="Times New Roman" w:cs="Times New Roman"/>
          <w:lang w:eastAsia="ja-JP"/>
        </w:rPr>
        <w:t xml:space="preserve"> their existing capacities in terms of </w:t>
      </w:r>
      <w:r w:rsidR="005D1A4B">
        <w:rPr>
          <w:rFonts w:ascii="Times New Roman" w:eastAsia="MS Mincho" w:hAnsi="Times New Roman" w:cs="Times New Roman"/>
          <w:lang w:eastAsia="ja-JP"/>
        </w:rPr>
        <w:t xml:space="preserve">infrastructure, </w:t>
      </w:r>
      <w:r w:rsidR="00E44FFA" w:rsidRPr="00B4451F">
        <w:rPr>
          <w:rFonts w:ascii="Times New Roman" w:eastAsia="MS Mincho" w:hAnsi="Times New Roman" w:cs="Times New Roman"/>
          <w:lang w:eastAsia="ja-JP"/>
        </w:rPr>
        <w:t>technical expertise</w:t>
      </w:r>
      <w:r w:rsidR="00D938D3">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the availability of equipment </w:t>
      </w:r>
      <w:r w:rsidR="00D938D3">
        <w:rPr>
          <w:rFonts w:ascii="Times New Roman" w:eastAsia="MS Mincho" w:hAnsi="Times New Roman" w:cs="Times New Roman"/>
          <w:lang w:eastAsia="ja-JP"/>
        </w:rPr>
        <w:t xml:space="preserve">needed </w:t>
      </w:r>
      <w:r w:rsidR="00E44FFA" w:rsidRPr="00B4451F">
        <w:rPr>
          <w:rFonts w:ascii="Times New Roman" w:eastAsia="MS Mincho" w:hAnsi="Times New Roman" w:cs="Times New Roman"/>
          <w:lang w:eastAsia="ja-JP"/>
        </w:rPr>
        <w:t>to perform the testing procedures</w:t>
      </w:r>
      <w:r w:rsidR="00FF1702">
        <w:rPr>
          <w:rFonts w:ascii="Times New Roman" w:eastAsia="MS Mincho" w:hAnsi="Times New Roman" w:cs="Times New Roman"/>
          <w:lang w:eastAsia="ja-JP"/>
        </w:rPr>
        <w:t xml:space="preserve">. </w:t>
      </w:r>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Pr>
          <w:rFonts w:ascii="Times New Roman" w:eastAsia="MS Mincho" w:hAnsi="Times New Roman" w:cs="Times New Roman"/>
          <w:lang w:eastAsia="ja-JP"/>
        </w:rPr>
        <w:t>be initiated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defining each of the following parameters in order to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EEBDF9B"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Depending on the intended control level, the required analytical capability may be 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p>
    <w:p w14:paraId="036600C0" w14:textId="3BADDDD9"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need 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704F36F5"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Times New Roman" w:hAnsi="Times New Roman" w:cs="Times New Roman"/>
          <w:bCs/>
          <w:lang w:val="en-US"/>
        </w:rPr>
        <w:t xml:space="preserve">IUCN (2003) An Explanatory Guide to the Cartagena Protocol on Biosafety. Available at </w:t>
      </w:r>
      <w:hyperlink r:id="rId17" w:history="1">
        <w:r w:rsidRPr="00B4451F">
          <w:rPr>
            <w:rFonts w:ascii="Times New Roman" w:eastAsia="Times New Roman" w:hAnsi="Times New Roman" w:cs="Times New Roman"/>
            <w:bCs/>
            <w:color w:val="0000FF"/>
            <w:u w:val="single"/>
            <w:lang w:val="en-US"/>
          </w:rPr>
          <w:t>http://bch.cbd.int/database/record-v4.shtml?documentid=41476</w:t>
        </w:r>
      </w:hyperlink>
      <w:r w:rsidRPr="00B4451F">
        <w:rPr>
          <w:rFonts w:ascii="Times New Roman" w:eastAsia="Times New Roman" w:hAnsi="Times New Roman" w:cs="Times New Roman"/>
          <w:bCs/>
          <w:lang w:val="en-US"/>
        </w:rPr>
        <w:t xml:space="preserve"> (access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8"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19"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0"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1"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5D35F0" w:rsidP="00E44FFA">
      <w:pPr>
        <w:tabs>
          <w:tab w:val="left" w:pos="900"/>
        </w:tabs>
        <w:spacing w:before="240" w:after="240"/>
        <w:jc w:val="both"/>
        <w:rPr>
          <w:rFonts w:ascii="Times New Roman" w:eastAsia="MS Mincho" w:hAnsi="Times New Roman" w:cs="Times New Roman"/>
          <w:lang w:eastAsia="ja-JP"/>
        </w:rPr>
      </w:pPr>
      <w:hyperlink r:id="rId22"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4" w:history="1">
        <w:r w:rsidRPr="00233311">
          <w:rPr>
            <w:rStyle w:val="Hyperlink"/>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5"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lastRenderedPageBreak/>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6" w:history="1">
        <w:r w:rsidRPr="00375471">
          <w:rPr>
            <w:rStyle w:val="Hyperlink"/>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Hamels, Lotte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Dany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Wulff,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7" w:history="1">
        <w:r w:rsidRPr="00233311">
          <w:rPr>
            <w:rStyle w:val="Hyperlink"/>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FootnoteText"/>
        <w:rPr>
          <w:lang w:val="en-CA"/>
        </w:rPr>
      </w:pPr>
      <w:r>
        <w:rPr>
          <w:rStyle w:val="FootnoteReferenc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Default="002A0B14" w:rsidP="002A0B14">
      <w:pPr>
        <w:rPr>
          <w:lang w:val="en-US"/>
        </w:rPr>
      </w:pPr>
      <w:r>
        <w:rPr>
          <w:rStyle w:val="FootnoteReference"/>
        </w:rPr>
        <w:footnoteRef/>
      </w:r>
      <w:r>
        <w:t xml:space="preserve"> </w:t>
      </w:r>
      <w:proofErr w:type="spellStart"/>
      <w:r w:rsidRPr="00CF4ABC">
        <w:rPr>
          <w:lang w:val="en-US"/>
        </w:rPr>
        <w:t>Zel</w:t>
      </w:r>
      <w:proofErr w:type="spellEnd"/>
      <w:r w:rsidRPr="00CF4ABC">
        <w:rPr>
          <w:lang w:val="en-US"/>
        </w:rPr>
        <w:t xml:space="preserve"> J, Milavec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Gruden K (2012) How to reliably test for GMOs, Springer briefs in food health and nutrition.</w:t>
      </w:r>
      <w:r>
        <w:rPr>
          <w:lang w:val="en-US"/>
        </w:rPr>
        <w:t xml:space="preserve"> </w:t>
      </w:r>
      <w:hyperlink r:id="rId28" w:history="1">
        <w:r w:rsidRPr="00CF4ABC">
          <w:rPr>
            <w:rStyle w:val="Hyperlink"/>
            <w:rFonts w:cstheme="minorBidi"/>
            <w:lang w:val="es-MX"/>
          </w:rPr>
          <w:t>http://www.springer.com/us/book/9781461413899</w:t>
        </w:r>
      </w:hyperlink>
    </w:p>
    <w:p w14:paraId="33A9A2E9" w14:textId="0DDB87EF" w:rsidR="00FD5E5C" w:rsidRDefault="00FD5E5C" w:rsidP="002A0B14">
      <w:proofErr w:type="spellStart"/>
      <w:r>
        <w:rPr>
          <w:lang w:val="es-MX"/>
        </w:rPr>
        <w:t>Zel</w:t>
      </w:r>
      <w:proofErr w:type="spellEnd"/>
      <w:r>
        <w:rPr>
          <w:lang w:val="es-MX"/>
        </w:rPr>
        <w:t xml:space="preserve"> et. al.  (2012) </w:t>
      </w:r>
      <w:proofErr w:type="spellStart"/>
      <w:r>
        <w:rPr>
          <w:lang w:val="es-MX"/>
        </w:rPr>
        <w:t>Op</w:t>
      </w:r>
      <w:proofErr w:type="spellEnd"/>
      <w:r>
        <w:rPr>
          <w:lang w:val="es-MX"/>
        </w:rPr>
        <w:t xml:space="preserve"> cit.</w:t>
      </w:r>
      <w:bookmarkEnd w:id="0"/>
    </w:p>
    <w:sectPr w:rsidR="00FD5E5C" w:rsidSect="00EA3E6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A76DB" w14:textId="77777777" w:rsidR="005D35F0" w:rsidRDefault="005D35F0" w:rsidP="00E44FFA">
      <w:pPr>
        <w:spacing w:after="0" w:line="240" w:lineRule="auto"/>
      </w:pPr>
      <w:r>
        <w:separator/>
      </w:r>
    </w:p>
  </w:endnote>
  <w:endnote w:type="continuationSeparator" w:id="0">
    <w:p w14:paraId="338ACE15" w14:textId="77777777" w:rsidR="005D35F0" w:rsidRDefault="005D35F0"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BF085" w14:textId="77777777" w:rsidR="005D35F0" w:rsidRDefault="005D35F0" w:rsidP="00E44FFA">
      <w:pPr>
        <w:spacing w:after="0" w:line="240" w:lineRule="auto"/>
      </w:pPr>
      <w:r>
        <w:separator/>
      </w:r>
    </w:p>
  </w:footnote>
  <w:footnote w:type="continuationSeparator" w:id="0">
    <w:p w14:paraId="22294BF6" w14:textId="77777777" w:rsidR="005D35F0" w:rsidRDefault="005D35F0" w:rsidP="00E44FFA">
      <w:pPr>
        <w:spacing w:after="0" w:line="240" w:lineRule="auto"/>
      </w:pPr>
      <w:r>
        <w:continuationSeparator/>
      </w:r>
    </w:p>
  </w:footnote>
  <w:footnote w:id="1">
    <w:p w14:paraId="619C6DD3" w14:textId="2E1D3DB4" w:rsidR="00A46B98" w:rsidRPr="0051503D" w:rsidRDefault="00A46B98" w:rsidP="00E44FFA">
      <w:pPr>
        <w:pStyle w:val="FootnoteText"/>
        <w:rPr>
          <w:rFonts w:asciiTheme="majorBidi" w:hAnsiTheme="majorBidi" w:cstheme="majorBidi"/>
          <w:sz w:val="18"/>
          <w:szCs w:val="18"/>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FootnoteText"/>
        <w:rPr>
          <w:lang w:val="en-CA"/>
        </w:rPr>
      </w:pPr>
      <w:r w:rsidRPr="0051503D">
        <w:rPr>
          <w:rStyle w:val="FootnoteReferenc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FootnoteReferenc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Viljoen,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and Gretta Abou-Sleymane</w:t>
      </w:r>
    </w:p>
  </w:footnote>
  <w:footnote w:id="6">
    <w:p w14:paraId="1F180B19" w14:textId="77777777" w:rsidR="00A46B98" w:rsidRPr="00D4428D" w:rsidRDefault="00A46B98" w:rsidP="007864D1">
      <w:pPr>
        <w:pStyle w:val="FootnoteText"/>
        <w:rPr>
          <w:lang w:val="en-US"/>
        </w:rPr>
      </w:pPr>
      <w:r>
        <w:rPr>
          <w:rStyle w:val="FootnoteReferenc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FootnoteText"/>
        <w:rPr>
          <w:lang w:val="en-US"/>
        </w:rPr>
      </w:pPr>
      <w:r w:rsidRPr="0051503D">
        <w:rPr>
          <w:rStyle w:val="FootnoteReferenc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FFA"/>
    <w:rsid w:val="00011748"/>
    <w:rsid w:val="00016DCA"/>
    <w:rsid w:val="00030A99"/>
    <w:rsid w:val="00033DB9"/>
    <w:rsid w:val="0003608B"/>
    <w:rsid w:val="000A4F80"/>
    <w:rsid w:val="000B4890"/>
    <w:rsid w:val="000C0E00"/>
    <w:rsid w:val="000D2EC0"/>
    <w:rsid w:val="000D3F0D"/>
    <w:rsid w:val="001032A1"/>
    <w:rsid w:val="00137E14"/>
    <w:rsid w:val="00160F67"/>
    <w:rsid w:val="00167EFF"/>
    <w:rsid w:val="00185371"/>
    <w:rsid w:val="001A1179"/>
    <w:rsid w:val="001B5F18"/>
    <w:rsid w:val="001C23DC"/>
    <w:rsid w:val="00226E8E"/>
    <w:rsid w:val="00286290"/>
    <w:rsid w:val="00297F49"/>
    <w:rsid w:val="002A0B14"/>
    <w:rsid w:val="002C13E2"/>
    <w:rsid w:val="002F202C"/>
    <w:rsid w:val="0031376F"/>
    <w:rsid w:val="00316960"/>
    <w:rsid w:val="00347DB1"/>
    <w:rsid w:val="00360D98"/>
    <w:rsid w:val="003776C7"/>
    <w:rsid w:val="00382046"/>
    <w:rsid w:val="003A0104"/>
    <w:rsid w:val="003A3FBF"/>
    <w:rsid w:val="003A56FF"/>
    <w:rsid w:val="0040410D"/>
    <w:rsid w:val="004225AC"/>
    <w:rsid w:val="00442E10"/>
    <w:rsid w:val="00461964"/>
    <w:rsid w:val="004950A4"/>
    <w:rsid w:val="004A355E"/>
    <w:rsid w:val="004B207B"/>
    <w:rsid w:val="004B5194"/>
    <w:rsid w:val="004C390A"/>
    <w:rsid w:val="004C55D3"/>
    <w:rsid w:val="004F6814"/>
    <w:rsid w:val="00503FF6"/>
    <w:rsid w:val="0051503D"/>
    <w:rsid w:val="005937F1"/>
    <w:rsid w:val="005A6CB6"/>
    <w:rsid w:val="005D1A4B"/>
    <w:rsid w:val="005D35F0"/>
    <w:rsid w:val="005D74EE"/>
    <w:rsid w:val="005E36A2"/>
    <w:rsid w:val="00605A58"/>
    <w:rsid w:val="00614ADF"/>
    <w:rsid w:val="00617AD1"/>
    <w:rsid w:val="00621A1D"/>
    <w:rsid w:val="00640631"/>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F4104"/>
    <w:rsid w:val="008052DE"/>
    <w:rsid w:val="00846F3B"/>
    <w:rsid w:val="00861B79"/>
    <w:rsid w:val="00862F06"/>
    <w:rsid w:val="00873EAB"/>
    <w:rsid w:val="0088223F"/>
    <w:rsid w:val="008908FD"/>
    <w:rsid w:val="008A1980"/>
    <w:rsid w:val="008B7364"/>
    <w:rsid w:val="008C38DB"/>
    <w:rsid w:val="008C77FB"/>
    <w:rsid w:val="008E3AD3"/>
    <w:rsid w:val="008F6742"/>
    <w:rsid w:val="008F7CAC"/>
    <w:rsid w:val="00914586"/>
    <w:rsid w:val="00931528"/>
    <w:rsid w:val="00933A4B"/>
    <w:rsid w:val="00936976"/>
    <w:rsid w:val="00937EC4"/>
    <w:rsid w:val="00952851"/>
    <w:rsid w:val="00955109"/>
    <w:rsid w:val="009966D3"/>
    <w:rsid w:val="00996BE2"/>
    <w:rsid w:val="009C1B9F"/>
    <w:rsid w:val="009D40AF"/>
    <w:rsid w:val="00A03675"/>
    <w:rsid w:val="00A10687"/>
    <w:rsid w:val="00A347F6"/>
    <w:rsid w:val="00A46B98"/>
    <w:rsid w:val="00A65C5D"/>
    <w:rsid w:val="00A66B82"/>
    <w:rsid w:val="00A77540"/>
    <w:rsid w:val="00AA5454"/>
    <w:rsid w:val="00AC0C59"/>
    <w:rsid w:val="00B15859"/>
    <w:rsid w:val="00B17EEE"/>
    <w:rsid w:val="00B26B2E"/>
    <w:rsid w:val="00B3640C"/>
    <w:rsid w:val="00B508AB"/>
    <w:rsid w:val="00B602FD"/>
    <w:rsid w:val="00B9261B"/>
    <w:rsid w:val="00B9268A"/>
    <w:rsid w:val="00BC0CFD"/>
    <w:rsid w:val="00BE1F8D"/>
    <w:rsid w:val="00BE5D3A"/>
    <w:rsid w:val="00BE7795"/>
    <w:rsid w:val="00C0390F"/>
    <w:rsid w:val="00C50D1A"/>
    <w:rsid w:val="00C61A2F"/>
    <w:rsid w:val="00C854C7"/>
    <w:rsid w:val="00C8757B"/>
    <w:rsid w:val="00D22999"/>
    <w:rsid w:val="00D3574C"/>
    <w:rsid w:val="00D4434C"/>
    <w:rsid w:val="00D671C3"/>
    <w:rsid w:val="00D938D3"/>
    <w:rsid w:val="00DC32D8"/>
    <w:rsid w:val="00E10214"/>
    <w:rsid w:val="00E20567"/>
    <w:rsid w:val="00E44FFA"/>
    <w:rsid w:val="00E87614"/>
    <w:rsid w:val="00E87683"/>
    <w:rsid w:val="00E9291C"/>
    <w:rsid w:val="00EA3E61"/>
    <w:rsid w:val="00EA7911"/>
    <w:rsid w:val="00EB41EF"/>
    <w:rsid w:val="00EB45D4"/>
    <w:rsid w:val="00EB5E1A"/>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DB47013C-8216-464C-AA53-106EF8E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FF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
    <w:rPr>
      <w:sz w:val="20"/>
      <w:szCs w:val="20"/>
    </w:rPr>
  </w:style>
  <w:style w:type="character" w:customStyle="1" w:styleId="CommentTextChar">
    <w:name w:val="Comment Text Char"/>
    <w:basedOn w:val="DefaultParagraphFont"/>
    <w:link w:val="CommentText"/>
    <w:uiPriority w:val="99"/>
    <w:semiHidden/>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ib.si/eng/index.php/aktualno/project/272-gmoseek-better-control-of-genetically-modified-organisms-gmos-for-an-improved-european-food-safety.html" TargetMode="External"/><Relationship Id="rId26" Type="http://schemas.openxmlformats.org/officeDocument/2006/relationships/hyperlink" Target="http://ftp.jrc.es/EURdoc/JRC51799.pdf" TargetMode="External"/><Relationship Id="rId3" Type="http://schemas.openxmlformats.org/officeDocument/2006/relationships/styles" Target="styles.xml"/><Relationship Id="rId21" Type="http://schemas.openxmlformats.org/officeDocument/2006/relationships/hyperlink" Target="http://www.isaaa.org/resources/publications/pocket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ch.cbd.int/database/record-v4.shtml?documentid=41476" TargetMode="External"/><Relationship Id="rId25" Type="http://schemas.openxmlformats.org/officeDocument/2006/relationships/hyperlink" Target="http://www.oecd.org/dataoecd/43/34/40986855.pdf" TargetMode="External"/><Relationship Id="rId2" Type="http://schemas.openxmlformats.org/officeDocument/2006/relationships/numbering" Target="numbering.xml"/><Relationship Id="rId16" Type="http://schemas.openxmlformats.org/officeDocument/2006/relationships/hyperlink" Target="https://sites.biochem.umass.edu/vierlinglab/files/2015/04/2016nbt.3449Status-of-GMO-crops.pdf" TargetMode="External"/><Relationship Id="rId20" Type="http://schemas.openxmlformats.org/officeDocument/2006/relationships/hyperlink" Target="https://croplife.org/wp-content/uploads/pdf_files/Getting-a-Biotech-Crop-to-Market-Phillips-McDougall-Stud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otesting.com/Testing-Options" TargetMode="External"/><Relationship Id="rId24" Type="http://schemas.openxmlformats.org/officeDocument/2006/relationships/hyperlink" Target="http://www.isaaa.org/resources/publications/briefs/52/download/isaaa-brief-52-2016.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saaa.org/resources/publications/pocketk/16/" TargetMode="External"/><Relationship Id="rId28" Type="http://schemas.openxmlformats.org/officeDocument/2006/relationships/hyperlink" Target="http://www.springer.com/us/book/9781461413899" TargetMode="External"/><Relationship Id="rId10" Type="http://schemas.openxmlformats.org/officeDocument/2006/relationships/image" Target="media/image3.jpeg"/><Relationship Id="rId19" Type="http://schemas.openxmlformats.org/officeDocument/2006/relationships/hyperlink" Target="http://bch.cbd.int/protocol/cpb_detection/toolsandguidanc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s.acs.org/doi/pdf/10.1021/jf400685y" TargetMode="External"/><Relationship Id="rId22" Type="http://schemas.openxmlformats.org/officeDocument/2006/relationships/hyperlink" Target="http://pubs.acs.org/doi/pdf/10.1021/jf400685y" TargetMode="External"/><Relationship Id="rId27" Type="http://schemas.openxmlformats.org/officeDocument/2006/relationships/hyperlink" Target="http://www.sciencedirect.com/science/article/pii/S073497501200037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B14C4-E6CF-47B0-9016-05F03D3F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5865</Words>
  <Characters>33437</Characters>
  <Application>Microsoft Office Word</Application>
  <DocSecurity>0</DocSecurity>
  <Lines>278</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Abdelhakim</dc:creator>
  <cp:lastModifiedBy>Dina Abdelhakim</cp:lastModifiedBy>
  <cp:revision>3</cp:revision>
  <dcterms:created xsi:type="dcterms:W3CDTF">2018-03-27T19:07:00Z</dcterms:created>
  <dcterms:modified xsi:type="dcterms:W3CDTF">2018-03-27T19:43:00Z</dcterms:modified>
</cp:coreProperties>
</file>