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AE" w:rsidRDefault="00865E30" w:rsidP="00A030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CONSIDERATION OF </w:t>
      </w:r>
      <w:r w:rsidR="00A030AE" w:rsidRPr="00A030AE">
        <w:rPr>
          <w:rFonts w:ascii="Times New Roman" w:hAnsi="Times New Roman" w:cs="Times New Roman"/>
          <w:b/>
        </w:rPr>
        <w:t xml:space="preserve">TOPICS </w:t>
      </w:r>
      <w:r w:rsidR="008060AC">
        <w:rPr>
          <w:rFonts w:ascii="Times New Roman" w:hAnsi="Times New Roman" w:cs="Times New Roman"/>
          <w:b/>
        </w:rPr>
        <w:t xml:space="preserve">PRIORITIZED BY THE AHTEG </w:t>
      </w:r>
      <w:r w:rsidR="00A030AE" w:rsidRPr="00A030AE">
        <w:rPr>
          <w:rFonts w:ascii="Times New Roman" w:hAnsi="Times New Roman" w:cs="Times New Roman"/>
          <w:b/>
        </w:rPr>
        <w:t>FOR THE DEVELOPMENT OF FURTHER GUIDANCE</w:t>
      </w:r>
    </w:p>
    <w:p w:rsidR="00865E30" w:rsidRDefault="00865E30" w:rsidP="00865E30">
      <w:pPr>
        <w:pStyle w:val="Para1"/>
        <w:tabs>
          <w:tab w:val="left" w:pos="1440"/>
          <w:tab w:val="right" w:pos="8640"/>
        </w:tabs>
        <w:rPr>
          <w:rFonts w:eastAsiaTheme="minorHAnsi"/>
          <w:snapToGrid/>
          <w:szCs w:val="22"/>
          <w:lang w:val="en-CA"/>
        </w:rPr>
      </w:pPr>
    </w:p>
    <w:p w:rsidR="00171487" w:rsidRDefault="00865E30" w:rsidP="00865E30">
      <w:pPr>
        <w:pStyle w:val="Para1"/>
        <w:tabs>
          <w:tab w:val="left" w:pos="1440"/>
          <w:tab w:val="right" w:pos="8640"/>
        </w:tabs>
        <w:rPr>
          <w:szCs w:val="22"/>
        </w:rPr>
      </w:pPr>
      <w:r>
        <w:rPr>
          <w:rFonts w:eastAsiaTheme="minorHAnsi"/>
          <w:snapToGrid/>
          <w:szCs w:val="22"/>
          <w:lang w:val="en-CA"/>
        </w:rPr>
        <w:t xml:space="preserve">At its last round of online </w:t>
      </w:r>
      <w:r w:rsidRPr="00865E30">
        <w:rPr>
          <w:rFonts w:eastAsiaTheme="minorHAnsi"/>
          <w:snapToGrid/>
          <w:szCs w:val="22"/>
          <w:lang w:val="en-CA"/>
        </w:rPr>
        <w:t>discussion,</w:t>
      </w:r>
      <w:r w:rsidRPr="00865E30">
        <w:rPr>
          <w:rStyle w:val="FootnoteReference"/>
          <w:rFonts w:eastAsiaTheme="minorHAnsi"/>
          <w:snapToGrid/>
          <w:sz w:val="22"/>
          <w:szCs w:val="22"/>
          <w:u w:val="none"/>
          <w:vertAlign w:val="superscript"/>
          <w:lang w:val="en-CA"/>
        </w:rPr>
        <w:footnoteReference w:id="1"/>
      </w:r>
      <w:r w:rsidRPr="00865E30">
        <w:rPr>
          <w:rFonts w:eastAsiaTheme="minorHAnsi"/>
          <w:snapToGrid/>
          <w:szCs w:val="22"/>
          <w:lang w:val="en-CA"/>
        </w:rPr>
        <w:t xml:space="preserve"> The AHTEG Sub-group took into account the topics </w:t>
      </w:r>
      <w:r w:rsidRPr="00865E30">
        <w:rPr>
          <w:szCs w:val="22"/>
        </w:rPr>
        <w:t xml:space="preserve">prioritized by the AHTEG </w:t>
      </w:r>
      <w:r w:rsidRPr="00865E30">
        <w:rPr>
          <w:rFonts w:eastAsiaTheme="minorHAnsi"/>
          <w:snapToGrid/>
          <w:szCs w:val="22"/>
          <w:lang w:val="en-CA"/>
        </w:rPr>
        <w:t>for</w:t>
      </w:r>
      <w:r w:rsidR="00A030AE" w:rsidRPr="00865E30">
        <w:rPr>
          <w:szCs w:val="22"/>
        </w:rPr>
        <w:t xml:space="preserve"> the development of further guidance</w:t>
      </w:r>
      <w:r w:rsidR="00171487">
        <w:rPr>
          <w:szCs w:val="22"/>
        </w:rPr>
        <w:t>.</w:t>
      </w:r>
      <w:r w:rsidR="00171487" w:rsidRPr="00865E30">
        <w:rPr>
          <w:rStyle w:val="FootnoteReference"/>
          <w:sz w:val="22"/>
          <w:szCs w:val="22"/>
          <w:u w:val="none"/>
          <w:vertAlign w:val="superscript"/>
        </w:rPr>
        <w:footnoteReference w:id="2"/>
      </w:r>
      <w:r w:rsidRPr="00865E30">
        <w:rPr>
          <w:szCs w:val="22"/>
        </w:rPr>
        <w:t xml:space="preserve"> </w:t>
      </w:r>
    </w:p>
    <w:p w:rsidR="00865E30" w:rsidRPr="00865E30" w:rsidRDefault="00865E30" w:rsidP="00865E30">
      <w:pPr>
        <w:pStyle w:val="Para1"/>
        <w:tabs>
          <w:tab w:val="left" w:pos="1440"/>
          <w:tab w:val="right" w:pos="8640"/>
        </w:tabs>
        <w:rPr>
          <w:szCs w:val="22"/>
        </w:rPr>
      </w:pPr>
      <w:r>
        <w:rPr>
          <w:szCs w:val="22"/>
        </w:rPr>
        <w:t>T</w:t>
      </w:r>
      <w:r w:rsidRPr="00865E30">
        <w:rPr>
          <w:szCs w:val="22"/>
        </w:rPr>
        <w:t>he Sub-group noted that the following issues could be incorporated or further elaborated upon, as appropriate, into the relevant sections of the Roadmap</w:t>
      </w:r>
      <w:r w:rsidR="00A030AE" w:rsidRPr="00865E30">
        <w:rPr>
          <w:szCs w:val="22"/>
        </w:rPr>
        <w:t xml:space="preserve">: </w:t>
      </w:r>
    </w:p>
    <w:p w:rsidR="00865E30" w:rsidRDefault="00865E30" w:rsidP="00865E30">
      <w:pPr>
        <w:pStyle w:val="Para1"/>
        <w:tabs>
          <w:tab w:val="left" w:pos="1440"/>
          <w:tab w:val="right" w:pos="8640"/>
        </w:tabs>
        <w:rPr>
          <w:szCs w:val="22"/>
        </w:rPr>
      </w:pPr>
    </w:p>
    <w:p w:rsidR="00865E30" w:rsidRDefault="00865E30" w:rsidP="00865E30">
      <w:pPr>
        <w:pStyle w:val="Para1"/>
        <w:tabs>
          <w:tab w:val="left" w:pos="284"/>
          <w:tab w:val="left" w:pos="426"/>
          <w:tab w:val="right" w:pos="1440"/>
        </w:tabs>
        <w:spacing w:before="60" w:after="60"/>
        <w:rPr>
          <w:i/>
          <w:iCs/>
          <w:szCs w:val="22"/>
        </w:rPr>
      </w:pPr>
      <w:r w:rsidRPr="00865E30">
        <w:rPr>
          <w:i/>
          <w:iCs/>
          <w:szCs w:val="22"/>
        </w:rPr>
        <w:t xml:space="preserve">Regarding the </w:t>
      </w:r>
      <w:r>
        <w:rPr>
          <w:i/>
          <w:iCs/>
          <w:szCs w:val="22"/>
        </w:rPr>
        <w:t>type of recipient organism or modified trait</w:t>
      </w:r>
      <w:r w:rsidRPr="00865E30">
        <w:rPr>
          <w:i/>
          <w:iCs/>
          <w:szCs w:val="22"/>
        </w:rPr>
        <w:t>:</w:t>
      </w:r>
    </w:p>
    <w:p w:rsidR="00865E30" w:rsidRPr="00865E30" w:rsidRDefault="00865E30" w:rsidP="00865E30">
      <w:pPr>
        <w:pStyle w:val="Para1"/>
        <w:tabs>
          <w:tab w:val="left" w:pos="284"/>
          <w:tab w:val="left" w:pos="426"/>
          <w:tab w:val="right" w:pos="1440"/>
        </w:tabs>
        <w:spacing w:before="60" w:after="60"/>
        <w:rPr>
          <w:iCs/>
          <w:szCs w:val="22"/>
        </w:rPr>
      </w:pPr>
    </w:p>
    <w:p w:rsidR="00865E30" w:rsidRDefault="00A030AE" w:rsidP="00865E30">
      <w:pPr>
        <w:pStyle w:val="Para1"/>
        <w:numPr>
          <w:ilvl w:val="0"/>
          <w:numId w:val="2"/>
        </w:numPr>
        <w:tabs>
          <w:tab w:val="left" w:pos="284"/>
          <w:tab w:val="left" w:pos="426"/>
          <w:tab w:val="right" w:pos="1440"/>
        </w:tabs>
        <w:spacing w:before="60" w:after="60"/>
        <w:ind w:left="0" w:firstLine="720"/>
        <w:rPr>
          <w:iCs/>
          <w:szCs w:val="22"/>
        </w:rPr>
      </w:pPr>
      <w:r w:rsidRPr="00042BEB">
        <w:rPr>
          <w:iCs/>
          <w:szCs w:val="22"/>
        </w:rPr>
        <w:t>Risk assessment of living modified fish</w:t>
      </w:r>
      <w:r w:rsidR="00865E30">
        <w:rPr>
          <w:iCs/>
          <w:szCs w:val="22"/>
        </w:rPr>
        <w:t>;</w:t>
      </w:r>
    </w:p>
    <w:p w:rsidR="00865E30" w:rsidRPr="00865E30" w:rsidRDefault="00865E30" w:rsidP="00865E30">
      <w:pPr>
        <w:pStyle w:val="Para1"/>
        <w:numPr>
          <w:ilvl w:val="0"/>
          <w:numId w:val="2"/>
        </w:numPr>
        <w:tabs>
          <w:tab w:val="left" w:pos="284"/>
          <w:tab w:val="left" w:pos="426"/>
          <w:tab w:val="right" w:pos="1440"/>
        </w:tabs>
        <w:spacing w:before="60" w:after="60"/>
        <w:ind w:left="0" w:firstLine="720"/>
        <w:rPr>
          <w:iCs/>
          <w:szCs w:val="22"/>
        </w:rPr>
      </w:pPr>
      <w:r w:rsidRPr="00865E30">
        <w:rPr>
          <w:iCs/>
          <w:szCs w:val="22"/>
        </w:rPr>
        <w:t xml:space="preserve">Risk assessment of living modified organisms that produce pharmaceutical and industrial products; </w:t>
      </w:r>
    </w:p>
    <w:p w:rsidR="00865E30" w:rsidRPr="008C13DD" w:rsidRDefault="00865E30" w:rsidP="00865E30">
      <w:pPr>
        <w:pStyle w:val="Para1"/>
        <w:numPr>
          <w:ilvl w:val="0"/>
          <w:numId w:val="2"/>
        </w:numPr>
        <w:tabs>
          <w:tab w:val="left" w:pos="284"/>
          <w:tab w:val="left" w:pos="1440"/>
        </w:tabs>
        <w:spacing w:before="60" w:after="60"/>
        <w:ind w:firstLine="0"/>
        <w:rPr>
          <w:iCs/>
          <w:szCs w:val="22"/>
        </w:rPr>
      </w:pPr>
      <w:r w:rsidRPr="008C13DD">
        <w:rPr>
          <w:iCs/>
          <w:szCs w:val="22"/>
        </w:rPr>
        <w:t>Risk assessment of nutritionally altered living modified plant</w:t>
      </w:r>
      <w:r>
        <w:rPr>
          <w:iCs/>
          <w:szCs w:val="22"/>
        </w:rPr>
        <w:t>s</w:t>
      </w:r>
      <w:r w:rsidRPr="008C13DD">
        <w:rPr>
          <w:iCs/>
          <w:szCs w:val="22"/>
        </w:rPr>
        <w:t>;</w:t>
      </w:r>
      <w:r>
        <w:rPr>
          <w:iCs/>
          <w:color w:val="FF0000"/>
          <w:szCs w:val="22"/>
        </w:rPr>
        <w:t xml:space="preserve"> </w:t>
      </w:r>
    </w:p>
    <w:p w:rsidR="00865E30" w:rsidRDefault="00865E30" w:rsidP="00865E30">
      <w:pPr>
        <w:pStyle w:val="Para1"/>
        <w:tabs>
          <w:tab w:val="left" w:pos="284"/>
          <w:tab w:val="left" w:pos="426"/>
          <w:tab w:val="right" w:pos="1440"/>
        </w:tabs>
        <w:spacing w:before="60" w:after="60"/>
        <w:ind w:left="720"/>
        <w:rPr>
          <w:iCs/>
          <w:szCs w:val="22"/>
        </w:rPr>
      </w:pPr>
    </w:p>
    <w:p w:rsidR="00865E30" w:rsidRDefault="00865E30" w:rsidP="00865E30">
      <w:pPr>
        <w:pStyle w:val="Para1"/>
        <w:tabs>
          <w:tab w:val="left" w:pos="284"/>
          <w:tab w:val="left" w:pos="426"/>
          <w:tab w:val="right" w:pos="1440"/>
        </w:tabs>
        <w:spacing w:before="60" w:after="60"/>
        <w:rPr>
          <w:i/>
          <w:iCs/>
          <w:szCs w:val="22"/>
        </w:rPr>
      </w:pPr>
      <w:r>
        <w:rPr>
          <w:i/>
          <w:iCs/>
          <w:szCs w:val="22"/>
        </w:rPr>
        <w:t>Regarding the likely potential receiving environment:</w:t>
      </w:r>
    </w:p>
    <w:p w:rsidR="00865E30" w:rsidRDefault="00865E30" w:rsidP="00865E30">
      <w:pPr>
        <w:pStyle w:val="Para1"/>
        <w:tabs>
          <w:tab w:val="left" w:pos="284"/>
          <w:tab w:val="left" w:pos="426"/>
          <w:tab w:val="right" w:pos="1440"/>
        </w:tabs>
        <w:spacing w:before="60" w:after="60"/>
        <w:rPr>
          <w:i/>
          <w:iCs/>
          <w:szCs w:val="22"/>
        </w:rPr>
      </w:pPr>
    </w:p>
    <w:p w:rsidR="00865E30" w:rsidRDefault="00865E30" w:rsidP="00865E30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042BEB">
        <w:rPr>
          <w:iCs/>
          <w:szCs w:val="22"/>
        </w:rPr>
        <w:t>Risk assessment of living modified organisms introduced in centres of origin and genetic diversity;</w:t>
      </w:r>
      <w:r>
        <w:rPr>
          <w:iCs/>
          <w:szCs w:val="22"/>
        </w:rPr>
        <w:t xml:space="preserve"> </w:t>
      </w:r>
    </w:p>
    <w:p w:rsidR="00865E30" w:rsidRPr="00865E30" w:rsidRDefault="00865E30" w:rsidP="00865E30">
      <w:pPr>
        <w:pStyle w:val="Para1"/>
        <w:numPr>
          <w:ilvl w:val="0"/>
          <w:numId w:val="3"/>
        </w:numPr>
        <w:tabs>
          <w:tab w:val="left" w:pos="284"/>
          <w:tab w:val="left" w:pos="1440"/>
        </w:tabs>
        <w:spacing w:before="60" w:after="60"/>
        <w:ind w:firstLine="0"/>
        <w:rPr>
          <w:iCs/>
          <w:szCs w:val="22"/>
        </w:rPr>
      </w:pPr>
      <w:r w:rsidRPr="00865E30">
        <w:rPr>
          <w:iCs/>
          <w:szCs w:val="22"/>
        </w:rPr>
        <w:t xml:space="preserve">Risk assessment and management of LMOs intended for introduction into unmanaged ecosystems; </w:t>
      </w:r>
    </w:p>
    <w:p w:rsidR="00865E30" w:rsidRDefault="00865E30" w:rsidP="00865E30">
      <w:pPr>
        <w:pStyle w:val="Para1"/>
        <w:tabs>
          <w:tab w:val="left" w:pos="284"/>
          <w:tab w:val="left" w:pos="426"/>
          <w:tab w:val="right" w:pos="1440"/>
        </w:tabs>
        <w:spacing w:before="60" w:after="60"/>
        <w:rPr>
          <w:i/>
          <w:iCs/>
          <w:szCs w:val="22"/>
        </w:rPr>
      </w:pPr>
    </w:p>
    <w:p w:rsidR="00865E30" w:rsidRDefault="00865E30" w:rsidP="00865E30">
      <w:pPr>
        <w:pStyle w:val="Para1"/>
        <w:tabs>
          <w:tab w:val="left" w:pos="284"/>
          <w:tab w:val="left" w:pos="426"/>
          <w:tab w:val="right" w:pos="1440"/>
        </w:tabs>
        <w:spacing w:before="60" w:after="60"/>
        <w:rPr>
          <w:i/>
          <w:iCs/>
          <w:szCs w:val="22"/>
        </w:rPr>
      </w:pPr>
      <w:r w:rsidRPr="00865E30">
        <w:rPr>
          <w:i/>
          <w:iCs/>
          <w:szCs w:val="22"/>
        </w:rPr>
        <w:t>Regarding the technique or modification process:</w:t>
      </w:r>
    </w:p>
    <w:p w:rsidR="00865E30" w:rsidRPr="00865E30" w:rsidRDefault="00865E30" w:rsidP="00865E30">
      <w:pPr>
        <w:pStyle w:val="Para1"/>
        <w:tabs>
          <w:tab w:val="left" w:pos="284"/>
          <w:tab w:val="left" w:pos="426"/>
          <w:tab w:val="right" w:pos="1440"/>
        </w:tabs>
        <w:spacing w:before="60" w:after="60"/>
        <w:rPr>
          <w:i/>
          <w:iCs/>
          <w:szCs w:val="22"/>
        </w:rPr>
      </w:pPr>
    </w:p>
    <w:p w:rsidR="00A030AE" w:rsidRPr="008C13DD" w:rsidRDefault="00A030AE" w:rsidP="00865E30">
      <w:pPr>
        <w:pStyle w:val="Para1"/>
        <w:numPr>
          <w:ilvl w:val="0"/>
          <w:numId w:val="4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 xml:space="preserve">Risk assessment of living modified organisms created through use of dsRNA techniques, engineered to produce dsRNA or exposed to </w:t>
      </w:r>
      <w:proofErr w:type="spellStart"/>
      <w:r w:rsidRPr="008C13DD">
        <w:rPr>
          <w:iCs/>
          <w:szCs w:val="22"/>
        </w:rPr>
        <w:t>dsRNA</w:t>
      </w:r>
      <w:proofErr w:type="spellEnd"/>
      <w:r w:rsidRPr="008C13DD">
        <w:rPr>
          <w:iCs/>
          <w:szCs w:val="22"/>
        </w:rPr>
        <w:t>;</w:t>
      </w:r>
      <w:r w:rsidR="00457422">
        <w:rPr>
          <w:iCs/>
          <w:szCs w:val="22"/>
        </w:rPr>
        <w:t xml:space="preserve"> </w:t>
      </w:r>
    </w:p>
    <w:p w:rsidR="00865E30" w:rsidRDefault="00A030AE" w:rsidP="00865E30">
      <w:pPr>
        <w:pStyle w:val="Para1"/>
        <w:numPr>
          <w:ilvl w:val="0"/>
          <w:numId w:val="4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65E30">
        <w:rPr>
          <w:iCs/>
          <w:szCs w:val="22"/>
        </w:rPr>
        <w:t xml:space="preserve">Risk assessment of living modified organisms containing </w:t>
      </w:r>
      <w:proofErr w:type="spellStart"/>
      <w:r w:rsidRPr="00865E30">
        <w:rPr>
          <w:iCs/>
          <w:szCs w:val="22"/>
        </w:rPr>
        <w:t>RNAi</w:t>
      </w:r>
      <w:proofErr w:type="spellEnd"/>
      <w:r w:rsidRPr="00865E30">
        <w:rPr>
          <w:iCs/>
          <w:szCs w:val="22"/>
        </w:rPr>
        <w:t xml:space="preserve">; </w:t>
      </w:r>
      <w:r w:rsidR="00457422" w:rsidRPr="00865E30">
        <w:rPr>
          <w:iCs/>
          <w:szCs w:val="22"/>
        </w:rPr>
        <w:t xml:space="preserve"> </w:t>
      </w:r>
    </w:p>
    <w:p w:rsidR="00A030AE" w:rsidRPr="00865E30" w:rsidRDefault="00A030AE" w:rsidP="00865E30">
      <w:pPr>
        <w:pStyle w:val="Para1"/>
        <w:numPr>
          <w:ilvl w:val="0"/>
          <w:numId w:val="4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65E30">
        <w:rPr>
          <w:iCs/>
          <w:szCs w:val="22"/>
        </w:rPr>
        <w:t xml:space="preserve">Risk assessment of living modified organisms produced through </w:t>
      </w:r>
      <w:proofErr w:type="spellStart"/>
      <w:r w:rsidRPr="00865E30">
        <w:rPr>
          <w:iCs/>
          <w:szCs w:val="22"/>
        </w:rPr>
        <w:t>cisgenetics</w:t>
      </w:r>
      <w:proofErr w:type="spellEnd"/>
      <w:r w:rsidRPr="00865E30">
        <w:rPr>
          <w:iCs/>
          <w:szCs w:val="22"/>
        </w:rPr>
        <w:t>;</w:t>
      </w:r>
      <w:r w:rsidR="00457422" w:rsidRPr="00865E30">
        <w:rPr>
          <w:iCs/>
          <w:szCs w:val="22"/>
        </w:rPr>
        <w:t xml:space="preserve"> </w:t>
      </w:r>
    </w:p>
    <w:p w:rsidR="00865E30" w:rsidRPr="008C13DD" w:rsidRDefault="00865E30" w:rsidP="00865E30">
      <w:pPr>
        <w:pStyle w:val="Para1"/>
        <w:numPr>
          <w:ilvl w:val="0"/>
          <w:numId w:val="4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Risk assessment of living modified organisms produced through synthetic biology;</w:t>
      </w:r>
    </w:p>
    <w:p w:rsidR="00865E30" w:rsidRDefault="00865E30" w:rsidP="00865E30">
      <w:pPr>
        <w:pStyle w:val="Para1"/>
        <w:tabs>
          <w:tab w:val="left" w:pos="284"/>
          <w:tab w:val="left" w:pos="1440"/>
        </w:tabs>
        <w:spacing w:before="60" w:after="60"/>
        <w:rPr>
          <w:i/>
          <w:iCs/>
          <w:szCs w:val="22"/>
        </w:rPr>
      </w:pPr>
    </w:p>
    <w:p w:rsidR="00865E30" w:rsidRDefault="00865E30" w:rsidP="00865E30">
      <w:pPr>
        <w:pStyle w:val="Para1"/>
        <w:tabs>
          <w:tab w:val="left" w:pos="284"/>
          <w:tab w:val="left" w:pos="1440"/>
        </w:tabs>
        <w:spacing w:before="60" w:after="60"/>
        <w:rPr>
          <w:i/>
          <w:iCs/>
          <w:szCs w:val="22"/>
        </w:rPr>
      </w:pPr>
      <w:r w:rsidRPr="00865E30">
        <w:rPr>
          <w:i/>
          <w:iCs/>
          <w:szCs w:val="22"/>
        </w:rPr>
        <w:t>Regarding the potential effects</w:t>
      </w:r>
      <w:r>
        <w:rPr>
          <w:i/>
          <w:iCs/>
          <w:szCs w:val="22"/>
        </w:rPr>
        <w:t>:</w:t>
      </w:r>
    </w:p>
    <w:p w:rsidR="00865E30" w:rsidRPr="00865E30" w:rsidRDefault="00865E30" w:rsidP="00865E30">
      <w:pPr>
        <w:pStyle w:val="Para1"/>
        <w:tabs>
          <w:tab w:val="left" w:pos="284"/>
          <w:tab w:val="left" w:pos="1440"/>
        </w:tabs>
        <w:spacing w:before="60" w:after="60"/>
        <w:rPr>
          <w:i/>
          <w:iCs/>
          <w:szCs w:val="22"/>
        </w:rPr>
      </w:pPr>
    </w:p>
    <w:p w:rsidR="000E7903" w:rsidRDefault="00A030AE" w:rsidP="00865E30">
      <w:pPr>
        <w:pStyle w:val="Para1"/>
        <w:numPr>
          <w:ilvl w:val="0"/>
          <w:numId w:val="5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 w:rsidRPr="008C13DD">
        <w:rPr>
          <w:iCs/>
          <w:szCs w:val="22"/>
        </w:rPr>
        <w:t>Guidance on integrating human health into the environmental risk assessment</w:t>
      </w:r>
    </w:p>
    <w:p w:rsidR="00A030AE" w:rsidRPr="008C13DD" w:rsidRDefault="000E7903" w:rsidP="00865E30">
      <w:pPr>
        <w:pStyle w:val="Para1"/>
        <w:numPr>
          <w:ilvl w:val="0"/>
          <w:numId w:val="5"/>
        </w:numPr>
        <w:tabs>
          <w:tab w:val="left" w:pos="284"/>
          <w:tab w:val="left" w:pos="1440"/>
        </w:tabs>
        <w:spacing w:before="60" w:after="60"/>
        <w:ind w:left="0" w:firstLine="720"/>
        <w:rPr>
          <w:iCs/>
          <w:szCs w:val="22"/>
        </w:rPr>
      </w:pPr>
      <w:r>
        <w:rPr>
          <w:iCs/>
          <w:szCs w:val="22"/>
        </w:rPr>
        <w:t>S</w:t>
      </w:r>
      <w:r w:rsidR="00865E30" w:rsidRPr="008C13DD">
        <w:rPr>
          <w:iCs/>
          <w:szCs w:val="22"/>
        </w:rPr>
        <w:t>ynergistic impacts of different herbicides that are part of the technology package that accompanies certain LMOs.</w:t>
      </w:r>
    </w:p>
    <w:p w:rsidR="00D10DE2" w:rsidRPr="00A030AE" w:rsidRDefault="00D10DE2">
      <w:pPr>
        <w:rPr>
          <w:lang w:val="en-GB"/>
        </w:rPr>
      </w:pPr>
    </w:p>
    <w:sectPr w:rsidR="00D10DE2" w:rsidRPr="00A030AE" w:rsidSect="002E1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56" w:rsidRDefault="005B1956" w:rsidP="00A030AE">
      <w:pPr>
        <w:spacing w:after="0" w:line="240" w:lineRule="auto"/>
      </w:pPr>
      <w:r>
        <w:separator/>
      </w:r>
    </w:p>
  </w:endnote>
  <w:endnote w:type="continuationSeparator" w:id="0">
    <w:p w:rsidR="005B1956" w:rsidRDefault="005B1956" w:rsidP="00A0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56" w:rsidRDefault="005B1956" w:rsidP="00A030AE">
      <w:pPr>
        <w:spacing w:after="0" w:line="240" w:lineRule="auto"/>
      </w:pPr>
      <w:r>
        <w:separator/>
      </w:r>
    </w:p>
  </w:footnote>
  <w:footnote w:type="continuationSeparator" w:id="0">
    <w:p w:rsidR="005B1956" w:rsidRDefault="005B1956" w:rsidP="00A030AE">
      <w:pPr>
        <w:spacing w:after="0" w:line="240" w:lineRule="auto"/>
      </w:pPr>
      <w:r>
        <w:continuationSeparator/>
      </w:r>
    </w:p>
  </w:footnote>
  <w:footnote w:id="1">
    <w:p w:rsidR="00865E30" w:rsidRPr="00865E30" w:rsidRDefault="00865E30" w:rsidP="00865E30">
      <w:pPr>
        <w:pStyle w:val="FootnoteText"/>
        <w:ind w:firstLine="0"/>
      </w:pPr>
      <w:r w:rsidRPr="008060AC">
        <w:rPr>
          <w:rStyle w:val="FootnoteReference"/>
          <w:sz w:val="22"/>
          <w:szCs w:val="22"/>
          <w:u w:val="none"/>
          <w:vertAlign w:val="superscript"/>
        </w:rPr>
        <w:footnoteRef/>
      </w:r>
      <w:r w:rsidRPr="008060AC">
        <w:rPr>
          <w:sz w:val="22"/>
          <w:szCs w:val="22"/>
          <w:vertAlign w:val="superscript"/>
        </w:rPr>
        <w:t xml:space="preserve"> </w:t>
      </w:r>
      <w:r>
        <w:tab/>
      </w:r>
      <w:r w:rsidR="008060AC">
        <w:t>The discussion of the Sub-group is a</w:t>
      </w:r>
      <w:r>
        <w:t xml:space="preserve">vailable at </w:t>
      </w:r>
      <w:hyperlink r:id="rId1" w:history="1">
        <w:r w:rsidRPr="005A0ABB">
          <w:rPr>
            <w:rStyle w:val="Hyperlink"/>
          </w:rPr>
          <w:t>https://bch.cbd.int/onlineconferences/RA_ahteg_subgroup</w:t>
        </w:r>
      </w:hyperlink>
      <w:r>
        <w:t xml:space="preserve">. </w:t>
      </w:r>
    </w:p>
  </w:footnote>
  <w:footnote w:id="2">
    <w:p w:rsidR="00171487" w:rsidRPr="00865E30" w:rsidRDefault="00171487" w:rsidP="00171487">
      <w:pPr>
        <w:pStyle w:val="FootnoteText"/>
        <w:ind w:firstLine="0"/>
        <w:rPr>
          <w:lang w:val="en-US"/>
        </w:rPr>
      </w:pPr>
      <w:r w:rsidRPr="008060AC">
        <w:rPr>
          <w:rStyle w:val="FootnoteReference"/>
          <w:sz w:val="22"/>
          <w:szCs w:val="22"/>
          <w:u w:val="none"/>
          <w:vertAlign w:val="superscript"/>
        </w:rPr>
        <w:footnoteRef/>
      </w:r>
      <w:r w:rsidRPr="008060AC">
        <w:rPr>
          <w:sz w:val="22"/>
          <w:szCs w:val="22"/>
        </w:rPr>
        <w:t xml:space="preserve"> </w:t>
      </w:r>
      <w:r>
        <w:tab/>
        <w:t xml:space="preserve">The list of topics prioritized by the AHTEG is available at </w:t>
      </w:r>
      <w:hyperlink r:id="rId2" w:history="1">
        <w:r w:rsidRPr="005A0ABB">
          <w:rPr>
            <w:rStyle w:val="Hyperlink"/>
          </w:rPr>
          <w:t>http://www.cbd.int/doc/meetings/bs/bsrarm-05/official/bsrarm-05-06-en.doc</w:t>
        </w:r>
      </w:hyperlink>
      <w:r>
        <w:t xml:space="preserve"> (paragraphs 37-38).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F7B"/>
    <w:multiLevelType w:val="hybridMultilevel"/>
    <w:tmpl w:val="A8E6ECC0"/>
    <w:lvl w:ilvl="0" w:tplc="BB8A30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4639"/>
    <w:multiLevelType w:val="hybridMultilevel"/>
    <w:tmpl w:val="2FB4570C"/>
    <w:lvl w:ilvl="0" w:tplc="D13C94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241F2"/>
    <w:multiLevelType w:val="hybridMultilevel"/>
    <w:tmpl w:val="2FB4570C"/>
    <w:lvl w:ilvl="0" w:tplc="D13C94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23244"/>
    <w:multiLevelType w:val="multilevel"/>
    <w:tmpl w:val="E63AD39C"/>
    <w:lvl w:ilvl="0">
      <w:start w:val="3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2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9627A5B"/>
    <w:multiLevelType w:val="hybridMultilevel"/>
    <w:tmpl w:val="2FB4570C"/>
    <w:lvl w:ilvl="0" w:tplc="D13C94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AE"/>
    <w:rsid w:val="000E7903"/>
    <w:rsid w:val="00171487"/>
    <w:rsid w:val="001C30E1"/>
    <w:rsid w:val="002E1EAD"/>
    <w:rsid w:val="003F643C"/>
    <w:rsid w:val="00457422"/>
    <w:rsid w:val="00466B92"/>
    <w:rsid w:val="005B1956"/>
    <w:rsid w:val="0071478F"/>
    <w:rsid w:val="007F7272"/>
    <w:rsid w:val="008060AC"/>
    <w:rsid w:val="00865E30"/>
    <w:rsid w:val="0087715B"/>
    <w:rsid w:val="00A030AE"/>
    <w:rsid w:val="00BD4E1E"/>
    <w:rsid w:val="00C9569A"/>
    <w:rsid w:val="00D10DE2"/>
    <w:rsid w:val="00EE2F5C"/>
    <w:rsid w:val="00F5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basedOn w:val="Normal"/>
    <w:rsid w:val="00A030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rsid w:val="00A030AE"/>
    <w:pPr>
      <w:keepLines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0AE"/>
    <w:rPr>
      <w:rFonts w:ascii="Times New Roman" w:eastAsia="Times New Roman" w:hAnsi="Times New Roman" w:cs="Times New Roman"/>
      <w:sz w:val="18"/>
      <w:szCs w:val="24"/>
      <w:lang w:val="en-GB"/>
    </w:rPr>
  </w:style>
  <w:style w:type="character" w:styleId="FootnoteReference">
    <w:name w:val="footnote reference"/>
    <w:uiPriority w:val="99"/>
    <w:rsid w:val="00A030AE"/>
    <w:rPr>
      <w:sz w:val="18"/>
      <w:u w:val="single"/>
      <w:vertAlign w:val="baseline"/>
    </w:rPr>
  </w:style>
  <w:style w:type="character" w:styleId="Hyperlink">
    <w:name w:val="Hyperlink"/>
    <w:basedOn w:val="DefaultParagraphFont"/>
    <w:uiPriority w:val="99"/>
    <w:unhideWhenUsed/>
    <w:rsid w:val="00865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1">
    <w:name w:val="Para1"/>
    <w:basedOn w:val="Normaali"/>
    <w:rsid w:val="00A030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styleId="Alaviitteenteksti">
    <w:name w:val="footnote text"/>
    <w:basedOn w:val="Normaali"/>
    <w:link w:val="AlaviitteentekstiChar"/>
    <w:uiPriority w:val="99"/>
    <w:rsid w:val="00A030AE"/>
    <w:pPr>
      <w:keepLines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A030AE"/>
    <w:rPr>
      <w:rFonts w:ascii="Times New Roman" w:eastAsia="Times New Roman" w:hAnsi="Times New Roman" w:cs="Times New Roman"/>
      <w:sz w:val="18"/>
      <w:szCs w:val="24"/>
      <w:lang w:val="en-GB"/>
    </w:rPr>
  </w:style>
  <w:style w:type="character" w:styleId="Alaviitteenviite">
    <w:name w:val="footnote reference"/>
    <w:uiPriority w:val="99"/>
    <w:rsid w:val="00A030AE"/>
    <w:rPr>
      <w:sz w:val="18"/>
      <w:u w:val="singl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d.int/doc/meetings/bs/bsrarm-05/official/bsrarm-05-06-en.doc" TargetMode="External"/><Relationship Id="rId1" Type="http://schemas.openxmlformats.org/officeDocument/2006/relationships/hyperlink" Target="https://bch.cbd.int/onlineconferences/RA_ahteg_sub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21159-0078-4FFE-9E6E-7DA4E57E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</dc:creator>
  <cp:lastModifiedBy>Manoela Pessoa de Miranda</cp:lastModifiedBy>
  <cp:revision>2</cp:revision>
  <dcterms:created xsi:type="dcterms:W3CDTF">2015-04-24T20:23:00Z</dcterms:created>
  <dcterms:modified xsi:type="dcterms:W3CDTF">2015-04-24T20:23:00Z</dcterms:modified>
</cp:coreProperties>
</file>