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A" w:rsidRDefault="00194EDA" w:rsidP="00194EDA">
      <w:pPr>
        <w:rPr>
          <w:sz w:val="28"/>
          <w:szCs w:val="28"/>
        </w:rPr>
      </w:pPr>
      <w:r w:rsidRPr="004C20BC">
        <w:rPr>
          <w:sz w:val="28"/>
          <w:szCs w:val="28"/>
        </w:rPr>
        <w:t>Sub-category: Concrete examples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194EDA" w:rsidRPr="004759F3" w:rsidTr="003D008F">
        <w:tc>
          <w:tcPr>
            <w:tcW w:w="1357" w:type="dxa"/>
          </w:tcPr>
          <w:p w:rsidR="00194EDA" w:rsidRPr="004759F3" w:rsidRDefault="00194EDA" w:rsidP="003D008F">
            <w:r w:rsidRPr="004759F3">
              <w:t>Comments</w:t>
            </w:r>
          </w:p>
        </w:tc>
        <w:tc>
          <w:tcPr>
            <w:tcW w:w="4691" w:type="dxa"/>
          </w:tcPr>
          <w:p w:rsidR="00194EDA" w:rsidRPr="004759F3" w:rsidRDefault="00194EDA" w:rsidP="003D008F">
            <w:r>
              <w:t>Identified issues</w:t>
            </w:r>
          </w:p>
        </w:tc>
        <w:tc>
          <w:tcPr>
            <w:tcW w:w="3528" w:type="dxa"/>
          </w:tcPr>
          <w:p w:rsidR="00194EDA" w:rsidRPr="004759F3" w:rsidRDefault="00194EDA" w:rsidP="003D008F">
            <w:r w:rsidRPr="004759F3">
              <w:t>Possible way forward</w:t>
            </w:r>
          </w:p>
        </w:tc>
      </w:tr>
      <w:tr w:rsidR="00194EDA" w:rsidRPr="00C05DAE" w:rsidTr="003D008F">
        <w:tc>
          <w:tcPr>
            <w:tcW w:w="1357" w:type="dxa"/>
          </w:tcPr>
          <w:p w:rsidR="00194EDA" w:rsidRPr="00130C7C" w:rsidRDefault="00194EDA" w:rsidP="003D008F">
            <w:r w:rsidRPr="00130C7C">
              <w:t>R188, R165, R314, R10</w:t>
            </w:r>
          </w:p>
          <w:p w:rsidR="00194EDA" w:rsidRPr="00C05DAE" w:rsidRDefault="00194EDA" w:rsidP="003D008F"/>
          <w:p w:rsidR="00194EDA" w:rsidRDefault="00194EDA" w:rsidP="003D008F">
            <w:r>
              <w:t>R8</w:t>
            </w:r>
          </w:p>
          <w:p w:rsidR="00194EDA" w:rsidRDefault="00194EDA" w:rsidP="003D008F"/>
          <w:p w:rsidR="00194EDA" w:rsidRDefault="00194EDA" w:rsidP="003D008F"/>
          <w:p w:rsidR="00194EDA" w:rsidRDefault="00194EDA" w:rsidP="003D008F">
            <w:r>
              <w:t>R63</w:t>
            </w:r>
          </w:p>
          <w:p w:rsidR="00194EDA" w:rsidRDefault="00194EDA" w:rsidP="003D008F"/>
          <w:p w:rsidR="00194EDA" w:rsidRDefault="00194EDA" w:rsidP="003D008F">
            <w:r w:rsidRPr="00D85ACC">
              <w:t>R297</w:t>
            </w:r>
            <w:r>
              <w:t xml:space="preserve">, </w:t>
            </w:r>
            <w:r w:rsidRPr="00D85ACC">
              <w:t>R194</w:t>
            </w:r>
            <w:r>
              <w:t xml:space="preserve">, </w:t>
            </w:r>
            <w:r w:rsidRPr="00D85ACC">
              <w:t>R143</w:t>
            </w:r>
            <w:r>
              <w:t xml:space="preserve">, </w:t>
            </w:r>
            <w:r w:rsidRPr="00D85ACC">
              <w:t>R232</w:t>
            </w:r>
            <w:r>
              <w:t xml:space="preserve">, </w:t>
            </w:r>
            <w:r w:rsidRPr="00D85ACC">
              <w:t>R201</w:t>
            </w:r>
            <w:r>
              <w:t xml:space="preserve">, </w:t>
            </w:r>
            <w:r w:rsidRPr="00D85ACC">
              <w:t>R195</w:t>
            </w:r>
            <w:r>
              <w:t xml:space="preserve">, </w:t>
            </w:r>
            <w:r w:rsidRPr="00D85ACC">
              <w:t>R234</w:t>
            </w:r>
            <w:r>
              <w:t xml:space="preserve">, </w:t>
            </w:r>
            <w:r w:rsidRPr="00D85ACC">
              <w:t>R196</w:t>
            </w:r>
            <w:r>
              <w:t xml:space="preserve">, </w:t>
            </w:r>
            <w:r w:rsidRPr="00D85ACC">
              <w:t>R293</w:t>
            </w:r>
            <w:r>
              <w:t xml:space="preserve">, </w:t>
            </w:r>
            <w:r w:rsidRPr="00D85ACC">
              <w:t>R452</w:t>
            </w:r>
            <w:r>
              <w:t xml:space="preserve">, </w:t>
            </w:r>
            <w:r w:rsidRPr="00D85ACC">
              <w:t>R235</w:t>
            </w:r>
            <w:r>
              <w:t xml:space="preserve">, </w:t>
            </w:r>
            <w:r w:rsidRPr="00D85ACC">
              <w:t>R145</w:t>
            </w:r>
            <w:r>
              <w:t xml:space="preserve">, </w:t>
            </w:r>
            <w:r w:rsidRPr="00D85ACC">
              <w:t>R397</w:t>
            </w:r>
            <w:r>
              <w:t xml:space="preserve">, </w:t>
            </w:r>
            <w:r w:rsidRPr="00D85ACC">
              <w:t>R473</w:t>
            </w:r>
            <w:r>
              <w:t xml:space="preserve">, </w:t>
            </w:r>
            <w:r w:rsidRPr="00D85ACC">
              <w:t>R292</w:t>
            </w:r>
            <w:r>
              <w:t>, R199, R356</w:t>
            </w:r>
          </w:p>
          <w:p w:rsidR="00194EDA" w:rsidRDefault="00194EDA" w:rsidP="003D008F"/>
          <w:p w:rsidR="00194EDA" w:rsidRDefault="00194EDA" w:rsidP="003D008F">
            <w:r>
              <w:t>R200</w:t>
            </w:r>
          </w:p>
          <w:p w:rsidR="00194EDA" w:rsidRDefault="00194EDA" w:rsidP="003D008F"/>
          <w:p w:rsidR="00194EDA" w:rsidRDefault="00194EDA" w:rsidP="003D008F">
            <w:r>
              <w:t>R9</w:t>
            </w:r>
          </w:p>
          <w:p w:rsidR="00194EDA" w:rsidRDefault="00194EDA" w:rsidP="003D008F"/>
          <w:p w:rsidR="00194EDA" w:rsidRDefault="00194EDA" w:rsidP="003D008F">
            <w:r>
              <w:t>R32, R406</w:t>
            </w:r>
          </w:p>
          <w:p w:rsidR="00194EDA" w:rsidRDefault="00194EDA" w:rsidP="003D008F"/>
          <w:p w:rsidR="00194EDA" w:rsidRDefault="00194EDA" w:rsidP="003D008F">
            <w:r>
              <w:t>R273</w:t>
            </w:r>
          </w:p>
          <w:p w:rsidR="00194EDA" w:rsidRDefault="00194EDA" w:rsidP="003D008F"/>
          <w:p w:rsidR="00194EDA" w:rsidRDefault="00194EDA" w:rsidP="003D008F">
            <w:r>
              <w:t>R476</w:t>
            </w:r>
          </w:p>
          <w:p w:rsidR="00194EDA" w:rsidRDefault="00194EDA" w:rsidP="003D008F"/>
          <w:p w:rsidR="00194EDA" w:rsidRDefault="00194EDA" w:rsidP="003D008F"/>
          <w:p w:rsidR="00194EDA" w:rsidRDefault="00194EDA" w:rsidP="003D008F">
            <w:r>
              <w:t>R246</w:t>
            </w:r>
          </w:p>
          <w:p w:rsidR="00194EDA" w:rsidRDefault="00194EDA" w:rsidP="003D008F"/>
          <w:p w:rsidR="00194EDA" w:rsidRDefault="00194EDA" w:rsidP="003D008F">
            <w:r>
              <w:t>S2, S19</w:t>
            </w:r>
          </w:p>
          <w:p w:rsidR="00194EDA" w:rsidRDefault="00194EDA" w:rsidP="003D008F"/>
          <w:p w:rsidR="00194EDA" w:rsidRPr="00C05DAE" w:rsidRDefault="00194EDA" w:rsidP="003D008F">
            <w:r>
              <w:t>Mn54, Mn55</w:t>
            </w:r>
          </w:p>
        </w:tc>
        <w:tc>
          <w:tcPr>
            <w:tcW w:w="4691" w:type="dxa"/>
          </w:tcPr>
          <w:p w:rsidR="00194EDA" w:rsidRDefault="00194EDA" w:rsidP="003D008F">
            <w:r>
              <w:t>Dealing with uncertainty</w:t>
            </w:r>
          </w:p>
          <w:p w:rsidR="00194EDA" w:rsidRDefault="00194EDA" w:rsidP="003D008F"/>
          <w:p w:rsidR="00194EDA" w:rsidRDefault="00194EDA" w:rsidP="003D008F"/>
          <w:p w:rsidR="00194EDA" w:rsidRDefault="00194EDA" w:rsidP="003D008F">
            <w:r>
              <w:t>P</w:t>
            </w:r>
            <w:r w:rsidRPr="00D85ACC">
              <w:t>rotection goals, assessment and measurement endpoints</w:t>
            </w:r>
          </w:p>
          <w:p w:rsidR="00194EDA" w:rsidRDefault="00194EDA" w:rsidP="003D008F"/>
          <w:p w:rsidR="00194EDA" w:rsidRDefault="00194EDA" w:rsidP="003D008F">
            <w:r>
              <w:t>Comparators</w:t>
            </w:r>
          </w:p>
          <w:p w:rsidR="00194EDA" w:rsidRPr="00D85ACC" w:rsidRDefault="00194EDA" w:rsidP="003D008F"/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Methodologies for evaluating exposure, likelihood, consequences and overall risk</w:t>
            </w:r>
          </w:p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Default="00194EDA" w:rsidP="003D008F"/>
          <w:p w:rsidR="00194EDA" w:rsidRPr="00D85ACC" w:rsidRDefault="00194EDA" w:rsidP="003D008F">
            <w:r>
              <w:t>Risk p</w:t>
            </w:r>
            <w:r w:rsidRPr="00D85ACC">
              <w:t>athways/causal link</w:t>
            </w:r>
          </w:p>
          <w:p w:rsidR="00194EDA" w:rsidRDefault="00194EDA" w:rsidP="003D008F"/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Characterization of the LMO</w:t>
            </w:r>
          </w:p>
          <w:p w:rsidR="00194EDA" w:rsidRDefault="00194EDA" w:rsidP="003D008F"/>
          <w:p w:rsidR="00194EDA" w:rsidRDefault="00194EDA" w:rsidP="003D008F">
            <w:r>
              <w:t>T</w:t>
            </w:r>
            <w:r w:rsidRPr="00D85ACC">
              <w:t>ypes of effects</w:t>
            </w:r>
          </w:p>
          <w:p w:rsidR="00194EDA" w:rsidRDefault="00194EDA" w:rsidP="003D008F"/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"Technology package" associated with the LMO</w:t>
            </w:r>
          </w:p>
          <w:p w:rsidR="00194EDA" w:rsidRDefault="00194EDA" w:rsidP="003D008F"/>
          <w:p w:rsidR="00194EDA" w:rsidRPr="00D85ACC" w:rsidRDefault="00194EDA" w:rsidP="003D008F">
            <w:r>
              <w:t xml:space="preserve">Criteria for </w:t>
            </w:r>
            <w:r w:rsidRPr="00D85ACC">
              <w:t>acceptability, thresholds, insect resistance management</w:t>
            </w:r>
          </w:p>
          <w:p w:rsidR="00194EDA" w:rsidRDefault="00194EDA" w:rsidP="003D008F"/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Checklist</w:t>
            </w:r>
          </w:p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</w:p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regarding LMOs with stacked genes</w:t>
            </w:r>
          </w:p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</w:p>
          <w:p w:rsidR="00194EDA" w:rsidRDefault="00194EDA" w:rsidP="003D0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Cumulative effects</w:t>
            </w:r>
          </w:p>
          <w:p w:rsidR="00194EDA" w:rsidRPr="00C05DAE" w:rsidRDefault="00194EDA" w:rsidP="003D008F"/>
        </w:tc>
        <w:tc>
          <w:tcPr>
            <w:tcW w:w="3528" w:type="dxa"/>
          </w:tcPr>
          <w:p w:rsidR="00194EDA" w:rsidRPr="00C05DAE" w:rsidRDefault="00194EDA" w:rsidP="003D008F">
            <w:r>
              <w:t>Consider a process (“who”, “how”, “what” and “when”) to collect examples of how countries deal with these matters with a view to adding relevant examples to the Guidance.</w:t>
            </w:r>
          </w:p>
        </w:tc>
      </w:tr>
    </w:tbl>
    <w:p w:rsidR="00194EDA" w:rsidRDefault="00194EDA" w:rsidP="00194EDA">
      <w:pPr>
        <w:rPr>
          <w:sz w:val="28"/>
          <w:szCs w:val="28"/>
        </w:rPr>
      </w:pPr>
    </w:p>
    <w:p w:rsidR="00194EDA" w:rsidRDefault="00194E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EDA" w:rsidRPr="004C20BC" w:rsidRDefault="00194EDA" w:rsidP="00194EDA">
      <w:pPr>
        <w:rPr>
          <w:sz w:val="28"/>
          <w:szCs w:val="28"/>
        </w:rPr>
      </w:pPr>
      <w:r w:rsidRPr="004C20BC">
        <w:rPr>
          <w:sz w:val="28"/>
          <w:szCs w:val="28"/>
        </w:rPr>
        <w:lastRenderedPageBreak/>
        <w:t xml:space="preserve">Sub-category: Link between steps </w:t>
      </w:r>
      <w:r>
        <w:rPr>
          <w:sz w:val="28"/>
          <w:szCs w:val="28"/>
        </w:rPr>
        <w:t>or</w:t>
      </w:r>
      <w:r w:rsidRPr="004C20BC">
        <w:rPr>
          <w:sz w:val="28"/>
          <w:szCs w:val="28"/>
        </w:rPr>
        <w:t xml:space="preserve"> sections</w:t>
      </w:r>
      <w:r>
        <w:rPr>
          <w:sz w:val="28"/>
          <w:szCs w:val="28"/>
        </w:rPr>
        <w:t xml:space="preserve"> of the Guidance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194EDA" w:rsidRPr="004759F3" w:rsidTr="003D008F">
        <w:tc>
          <w:tcPr>
            <w:tcW w:w="1357" w:type="dxa"/>
          </w:tcPr>
          <w:p w:rsidR="00194EDA" w:rsidRPr="004759F3" w:rsidRDefault="00194EDA" w:rsidP="003D008F">
            <w:r w:rsidRPr="004759F3">
              <w:t>Comments</w:t>
            </w:r>
          </w:p>
        </w:tc>
        <w:tc>
          <w:tcPr>
            <w:tcW w:w="4691" w:type="dxa"/>
          </w:tcPr>
          <w:p w:rsidR="00194EDA" w:rsidRPr="004759F3" w:rsidRDefault="00194EDA" w:rsidP="003D008F">
            <w:r>
              <w:t>Identified issues</w:t>
            </w:r>
          </w:p>
        </w:tc>
        <w:tc>
          <w:tcPr>
            <w:tcW w:w="3528" w:type="dxa"/>
          </w:tcPr>
          <w:p w:rsidR="00194EDA" w:rsidRPr="004759F3" w:rsidRDefault="00194EDA" w:rsidP="003D008F">
            <w:r w:rsidRPr="004759F3">
              <w:t>Possible way forward</w:t>
            </w:r>
          </w:p>
        </w:tc>
      </w:tr>
      <w:tr w:rsidR="00194EDA" w:rsidRPr="004759F3" w:rsidTr="003D008F">
        <w:tc>
          <w:tcPr>
            <w:tcW w:w="1357" w:type="dxa"/>
          </w:tcPr>
          <w:p w:rsidR="00194EDA" w:rsidRPr="00194EDA" w:rsidRDefault="00194EDA" w:rsidP="003D008F">
            <w:r w:rsidRPr="00194EDA">
              <w:t>R490</w:t>
            </w:r>
            <w:r>
              <w:t xml:space="preserve">, </w:t>
            </w:r>
            <w:r w:rsidRPr="00194EDA">
              <w:t>R71</w:t>
            </w:r>
            <w:r>
              <w:t xml:space="preserve">, </w:t>
            </w:r>
            <w:r w:rsidRPr="00194EDA">
              <w:t>R34</w:t>
            </w:r>
            <w:r>
              <w:t xml:space="preserve">, </w:t>
            </w:r>
            <w:r w:rsidRPr="00194EDA">
              <w:t>R222</w:t>
            </w:r>
            <w:r>
              <w:t xml:space="preserve">, </w:t>
            </w:r>
            <w:r w:rsidRPr="00194EDA">
              <w:t>R288</w:t>
            </w:r>
            <w:r>
              <w:t xml:space="preserve">, </w:t>
            </w:r>
            <w:r w:rsidRPr="00194EDA">
              <w:t>R475</w:t>
            </w:r>
            <w:r>
              <w:t xml:space="preserve">, </w:t>
            </w:r>
            <w:r w:rsidRPr="00194EDA">
              <w:t>R101</w:t>
            </w:r>
            <w:r>
              <w:t xml:space="preserve">, </w:t>
            </w:r>
            <w:r w:rsidRPr="00194EDA">
              <w:t>R433</w:t>
            </w:r>
            <w:r>
              <w:t xml:space="preserve">, </w:t>
            </w:r>
            <w:r w:rsidRPr="00194EDA">
              <w:t>R29</w:t>
            </w:r>
          </w:p>
          <w:p w:rsidR="00194EDA" w:rsidRPr="004759F3" w:rsidRDefault="00194EDA" w:rsidP="003D008F"/>
        </w:tc>
        <w:tc>
          <w:tcPr>
            <w:tcW w:w="4691" w:type="dxa"/>
          </w:tcPr>
          <w:p w:rsidR="00194EDA" w:rsidRDefault="00194EDA" w:rsidP="003D008F">
            <w:r>
              <w:t>Concepts are repeated, contradictory and/or misplaced.</w:t>
            </w:r>
          </w:p>
        </w:tc>
        <w:tc>
          <w:tcPr>
            <w:tcW w:w="3528" w:type="dxa"/>
          </w:tcPr>
          <w:p w:rsidR="00194EDA" w:rsidRDefault="00194EDA" w:rsidP="003D008F">
            <w:r>
              <w:t>Consider individual comments and revise as needed</w:t>
            </w:r>
            <w:r w:rsidR="007E0C05">
              <w:t xml:space="preserve">, taking into account that some concepts are deliberately repeated in different parts of the Guidance.   </w:t>
            </w:r>
          </w:p>
          <w:p w:rsidR="00194EDA" w:rsidRDefault="00194EDA" w:rsidP="003D008F"/>
          <w:p w:rsidR="00194EDA" w:rsidRDefault="00194EDA" w:rsidP="003D008F"/>
          <w:p w:rsidR="00194EDA" w:rsidRPr="004759F3" w:rsidRDefault="00194EDA" w:rsidP="003D008F"/>
        </w:tc>
      </w:tr>
    </w:tbl>
    <w:p w:rsidR="00194EDA" w:rsidRDefault="00194EDA" w:rsidP="00194EDA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Relevancy of points to consider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EE0E19" w:rsidRPr="004759F3" w:rsidTr="003D008F">
        <w:tc>
          <w:tcPr>
            <w:tcW w:w="1357" w:type="dxa"/>
          </w:tcPr>
          <w:p w:rsidR="00EE0E19" w:rsidRPr="004759F3" w:rsidRDefault="00EE0E19" w:rsidP="003D008F">
            <w:r w:rsidRPr="004759F3">
              <w:t>Comments</w:t>
            </w:r>
          </w:p>
        </w:tc>
        <w:tc>
          <w:tcPr>
            <w:tcW w:w="4691" w:type="dxa"/>
          </w:tcPr>
          <w:p w:rsidR="00EE0E19" w:rsidRPr="004759F3" w:rsidRDefault="00EE0E19" w:rsidP="003D008F">
            <w:r>
              <w:t>Identified issues</w:t>
            </w:r>
          </w:p>
        </w:tc>
        <w:tc>
          <w:tcPr>
            <w:tcW w:w="3528" w:type="dxa"/>
          </w:tcPr>
          <w:p w:rsidR="00EE0E19" w:rsidRPr="004759F3" w:rsidRDefault="00EE0E19" w:rsidP="003D008F">
            <w:r w:rsidRPr="004759F3">
              <w:t>Possible way forward</w:t>
            </w:r>
          </w:p>
        </w:tc>
      </w:tr>
      <w:tr w:rsidR="00EE0E19" w:rsidRPr="004759F3" w:rsidTr="003D008F">
        <w:tc>
          <w:tcPr>
            <w:tcW w:w="1357" w:type="dxa"/>
          </w:tcPr>
          <w:p w:rsidR="00EE0E19" w:rsidRPr="004759F3" w:rsidRDefault="00EE0E19" w:rsidP="003D008F">
            <w:r w:rsidRPr="009D0B7B">
              <w:t>S18</w:t>
            </w:r>
          </w:p>
        </w:tc>
        <w:tc>
          <w:tcPr>
            <w:tcW w:w="4691" w:type="dxa"/>
          </w:tcPr>
          <w:p w:rsidR="00EE0E19" w:rsidRDefault="00EE0E19" w:rsidP="003D008F">
            <w:r w:rsidRPr="009D0B7B">
              <w:t xml:space="preserve">Additional point: </w:t>
            </w:r>
            <w:proofErr w:type="spellStart"/>
            <w:r w:rsidRPr="009D0B7B">
              <w:t>megadiverse</w:t>
            </w:r>
            <w:proofErr w:type="spellEnd"/>
            <w:r w:rsidRPr="009D0B7B">
              <w:t xml:space="preserve"> countries with multiple </w:t>
            </w:r>
            <w:proofErr w:type="spellStart"/>
            <w:r w:rsidRPr="009D0B7B">
              <w:t>isogenic</w:t>
            </w:r>
            <w:proofErr w:type="spellEnd"/>
            <w:r w:rsidRPr="009D0B7B">
              <w:t xml:space="preserve"> lines, supported by baseline studies</w:t>
            </w:r>
          </w:p>
        </w:tc>
        <w:tc>
          <w:tcPr>
            <w:tcW w:w="3528" w:type="dxa"/>
          </w:tcPr>
          <w:p w:rsidR="00EE0E19" w:rsidRPr="004759F3" w:rsidRDefault="00EE0E19" w:rsidP="003D008F">
            <w:r>
              <w:t>Consider if this additional point to consider would be relevant</w:t>
            </w:r>
          </w:p>
        </w:tc>
      </w:tr>
    </w:tbl>
    <w:p w:rsidR="00EE0E19" w:rsidRDefault="00EE0E19"/>
    <w:p w:rsidR="00194EDA" w:rsidRDefault="00194EDA" w:rsidP="00194EDA">
      <w:pPr>
        <w:rPr>
          <w:sz w:val="28"/>
          <w:szCs w:val="28"/>
        </w:rPr>
      </w:pPr>
      <w:r w:rsidRPr="004C20BC">
        <w:rPr>
          <w:sz w:val="28"/>
          <w:szCs w:val="28"/>
        </w:rPr>
        <w:t xml:space="preserve">Sub-category: Consistency </w:t>
      </w:r>
      <w:r>
        <w:rPr>
          <w:sz w:val="28"/>
          <w:szCs w:val="28"/>
        </w:rPr>
        <w:t>with the Cartagena Protocol &amp; policy issues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194EDA" w:rsidRPr="004759F3" w:rsidTr="003D008F">
        <w:tc>
          <w:tcPr>
            <w:tcW w:w="1357" w:type="dxa"/>
          </w:tcPr>
          <w:p w:rsidR="00194EDA" w:rsidRPr="004759F3" w:rsidRDefault="00194EDA" w:rsidP="003D008F">
            <w:r w:rsidRPr="004759F3">
              <w:t>Comments</w:t>
            </w:r>
          </w:p>
        </w:tc>
        <w:tc>
          <w:tcPr>
            <w:tcW w:w="4691" w:type="dxa"/>
          </w:tcPr>
          <w:p w:rsidR="00194EDA" w:rsidRPr="004759F3" w:rsidRDefault="00194EDA" w:rsidP="003D008F">
            <w:r>
              <w:t>Identified issues</w:t>
            </w:r>
          </w:p>
        </w:tc>
        <w:tc>
          <w:tcPr>
            <w:tcW w:w="3528" w:type="dxa"/>
          </w:tcPr>
          <w:p w:rsidR="00194EDA" w:rsidRPr="004759F3" w:rsidRDefault="00194EDA" w:rsidP="003D008F">
            <w:r w:rsidRPr="004759F3">
              <w:t>Possible way forward</w:t>
            </w:r>
          </w:p>
        </w:tc>
      </w:tr>
      <w:tr w:rsidR="00194EDA" w:rsidRPr="004759F3" w:rsidTr="007E0C05">
        <w:trPr>
          <w:trHeight w:val="1124"/>
        </w:trPr>
        <w:tc>
          <w:tcPr>
            <w:tcW w:w="1357" w:type="dxa"/>
          </w:tcPr>
          <w:p w:rsidR="00194EDA" w:rsidRPr="004759F3" w:rsidRDefault="00194EDA" w:rsidP="003D008F">
            <w:r w:rsidRPr="004759F3">
              <w:t>R102</w:t>
            </w:r>
          </w:p>
          <w:p w:rsidR="00194EDA" w:rsidRPr="004759F3" w:rsidRDefault="00194EDA" w:rsidP="003D008F"/>
          <w:p w:rsidR="00194EDA" w:rsidRPr="004759F3" w:rsidRDefault="00194EDA" w:rsidP="007E0C05"/>
        </w:tc>
        <w:tc>
          <w:tcPr>
            <w:tcW w:w="4691" w:type="dxa"/>
          </w:tcPr>
          <w:p w:rsidR="00194EDA" w:rsidRDefault="00194EDA" w:rsidP="003D008F">
            <w:r>
              <w:t>Step 5 ‘Rationale’ vs. decision making process</w:t>
            </w:r>
          </w:p>
          <w:p w:rsidR="00194EDA" w:rsidRDefault="00194EDA" w:rsidP="003D008F"/>
          <w:p w:rsidR="00194EDA" w:rsidRDefault="00194EDA" w:rsidP="003D008F"/>
          <w:p w:rsidR="00194EDA" w:rsidRPr="00C7778D" w:rsidRDefault="00194EDA" w:rsidP="003D008F">
            <w:pPr>
              <w:rPr>
                <w:strike/>
              </w:rPr>
            </w:pPr>
          </w:p>
        </w:tc>
        <w:tc>
          <w:tcPr>
            <w:tcW w:w="3528" w:type="dxa"/>
          </w:tcPr>
          <w:p w:rsidR="00194EDA" w:rsidRPr="004759F3" w:rsidRDefault="00194EDA" w:rsidP="003D008F">
            <w:r w:rsidRPr="004759F3">
              <w:t>Consider if it is necessary to provide clearer distinction on what is part of the RA and what is in the realm of decision making</w:t>
            </w:r>
          </w:p>
        </w:tc>
      </w:tr>
    </w:tbl>
    <w:p w:rsidR="00194EDA" w:rsidRPr="004C20BC" w:rsidRDefault="00194EDA" w:rsidP="00194EDA">
      <w:pPr>
        <w:rPr>
          <w:sz w:val="28"/>
          <w:szCs w:val="28"/>
        </w:rPr>
      </w:pPr>
    </w:p>
    <w:p w:rsidR="004C20BC" w:rsidRP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t>Sub-category: Experience w</w:t>
      </w:r>
      <w:r>
        <w:rPr>
          <w:sz w:val="28"/>
          <w:szCs w:val="28"/>
        </w:rPr>
        <w:t>ith</w:t>
      </w:r>
      <w:r w:rsidRPr="004C20BC">
        <w:rPr>
          <w:sz w:val="28"/>
          <w:szCs w:val="28"/>
        </w:rPr>
        <w:t xml:space="preserve"> LMO</w:t>
      </w:r>
      <w:r w:rsidR="00E54190">
        <w:rPr>
          <w:sz w:val="28"/>
          <w:szCs w:val="28"/>
        </w:rPr>
        <w:t>, non-LMOs</w:t>
      </w:r>
      <w:r w:rsidRPr="004C20BC">
        <w:rPr>
          <w:sz w:val="28"/>
          <w:szCs w:val="28"/>
        </w:rPr>
        <w:t xml:space="preserve"> &amp; conventional practices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E54190" w:rsidRPr="004759F3" w:rsidTr="003D008F">
        <w:tc>
          <w:tcPr>
            <w:tcW w:w="1357" w:type="dxa"/>
          </w:tcPr>
          <w:p w:rsidR="00E54190" w:rsidRPr="004759F3" w:rsidRDefault="00E54190" w:rsidP="003D008F">
            <w:r w:rsidRPr="004759F3">
              <w:t>Comments</w:t>
            </w:r>
          </w:p>
        </w:tc>
        <w:tc>
          <w:tcPr>
            <w:tcW w:w="4691" w:type="dxa"/>
          </w:tcPr>
          <w:p w:rsidR="00E54190" w:rsidRPr="004759F3" w:rsidRDefault="00E54190" w:rsidP="003D008F">
            <w:r>
              <w:t>Identified issues</w:t>
            </w:r>
          </w:p>
        </w:tc>
        <w:tc>
          <w:tcPr>
            <w:tcW w:w="3528" w:type="dxa"/>
          </w:tcPr>
          <w:p w:rsidR="00E54190" w:rsidRPr="004759F3" w:rsidRDefault="00E54190" w:rsidP="003D008F">
            <w:r w:rsidRPr="004759F3">
              <w:t>Possible way forward</w:t>
            </w:r>
          </w:p>
        </w:tc>
      </w:tr>
      <w:tr w:rsidR="00E54190" w:rsidRPr="004759F3" w:rsidTr="003D008F">
        <w:tc>
          <w:tcPr>
            <w:tcW w:w="1357" w:type="dxa"/>
          </w:tcPr>
          <w:p w:rsidR="00E54190" w:rsidRDefault="00E54190" w:rsidP="003D008F">
            <w:r>
              <w:t>R413</w:t>
            </w:r>
          </w:p>
          <w:p w:rsidR="00E54190" w:rsidRDefault="00E54190" w:rsidP="003D008F"/>
          <w:p w:rsidR="00E54190" w:rsidRDefault="00E54190" w:rsidP="003D008F"/>
          <w:p w:rsidR="00E54190" w:rsidRDefault="00E54190" w:rsidP="003D008F"/>
          <w:p w:rsidR="00E54190" w:rsidRPr="004759F3" w:rsidRDefault="00E54190" w:rsidP="003D008F">
            <w:r>
              <w:t>S69</w:t>
            </w:r>
          </w:p>
        </w:tc>
        <w:tc>
          <w:tcPr>
            <w:tcW w:w="4691" w:type="dxa"/>
          </w:tcPr>
          <w:p w:rsidR="00E54190" w:rsidRDefault="00E54190" w:rsidP="00E541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Pr="00E54190">
              <w:rPr>
                <w:rFonts w:ascii="Calibri" w:hAnsi="Calibri"/>
                <w:color w:val="000000"/>
              </w:rPr>
              <w:t xml:space="preserve">on-modified counterpart </w:t>
            </w:r>
            <w:r w:rsidR="007E0C05">
              <w:rPr>
                <w:rFonts w:ascii="Calibri" w:hAnsi="Calibri"/>
                <w:color w:val="000000"/>
              </w:rPr>
              <w:t xml:space="preserve">not </w:t>
            </w:r>
            <w:r>
              <w:rPr>
                <w:rFonts w:ascii="Calibri" w:hAnsi="Calibri"/>
                <w:color w:val="000000"/>
              </w:rPr>
              <w:t>being</w:t>
            </w:r>
            <w:r w:rsidRPr="00E54190">
              <w:rPr>
                <w:rFonts w:ascii="Calibri" w:hAnsi="Calibri"/>
                <w:color w:val="000000"/>
              </w:rPr>
              <w:t xml:space="preserve"> sufficient to assess the risk of a stress tolerant plant</w:t>
            </w:r>
          </w:p>
          <w:p w:rsidR="00E54190" w:rsidRDefault="00E54190" w:rsidP="00E54190">
            <w:pPr>
              <w:rPr>
                <w:rFonts w:ascii="Calibri" w:hAnsi="Calibri"/>
                <w:color w:val="000000"/>
              </w:rPr>
            </w:pPr>
          </w:p>
          <w:p w:rsidR="00E54190" w:rsidRDefault="00E54190" w:rsidP="00E54190">
            <w:pPr>
              <w:rPr>
                <w:rFonts w:ascii="Calibri" w:hAnsi="Calibri"/>
                <w:color w:val="000000"/>
              </w:rPr>
            </w:pPr>
          </w:p>
          <w:p w:rsidR="00E54190" w:rsidRDefault="00E54190" w:rsidP="00E541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requirements in the case of stacked events</w:t>
            </w:r>
          </w:p>
          <w:p w:rsidR="00E54190" w:rsidRDefault="00E54190" w:rsidP="003D008F"/>
        </w:tc>
        <w:tc>
          <w:tcPr>
            <w:tcW w:w="3528" w:type="dxa"/>
          </w:tcPr>
          <w:p w:rsidR="00E54190" w:rsidRDefault="00E54190" w:rsidP="003D008F">
            <w:r w:rsidRPr="00E54190">
              <w:t xml:space="preserve">Attempt to reconcile this comment with the last </w:t>
            </w:r>
            <w:proofErr w:type="spellStart"/>
            <w:r w:rsidRPr="00E54190">
              <w:t>para</w:t>
            </w:r>
            <w:proofErr w:type="spellEnd"/>
            <w:r w:rsidRPr="00E54190">
              <w:t xml:space="preserve"> of the section on comparators.</w:t>
            </w:r>
          </w:p>
          <w:p w:rsidR="00E54190" w:rsidRDefault="00E54190" w:rsidP="003D008F"/>
          <w:p w:rsidR="00E54190" w:rsidRPr="004759F3" w:rsidRDefault="00E54190" w:rsidP="007E0C05">
            <w:r>
              <w:t>Consider adding text</w:t>
            </w:r>
            <w:r w:rsidR="007E0C05">
              <w:t xml:space="preserve"> and/or example</w:t>
            </w:r>
            <w:r>
              <w:t xml:space="preserve"> to address the issue raised in the commen</w:t>
            </w:r>
            <w:r w:rsidR="007E0C05">
              <w:t>t</w:t>
            </w:r>
          </w:p>
        </w:tc>
      </w:tr>
    </w:tbl>
    <w:p w:rsidR="00194EDA" w:rsidRDefault="00194EDA">
      <w:pPr>
        <w:rPr>
          <w:sz w:val="28"/>
          <w:szCs w:val="28"/>
        </w:rPr>
      </w:pPr>
    </w:p>
    <w:p w:rsidR="007E0C05" w:rsidRDefault="007E0C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20BC" w:rsidRDefault="004C20BC">
      <w:pPr>
        <w:rPr>
          <w:sz w:val="28"/>
          <w:szCs w:val="28"/>
        </w:rPr>
      </w:pPr>
      <w:r w:rsidRPr="004C20BC">
        <w:rPr>
          <w:sz w:val="28"/>
          <w:szCs w:val="28"/>
        </w:rPr>
        <w:lastRenderedPageBreak/>
        <w:t>Sub-category: Language</w:t>
      </w:r>
      <w:r w:rsidR="009D0B7B">
        <w:rPr>
          <w:sz w:val="28"/>
          <w:szCs w:val="28"/>
        </w:rPr>
        <w:t xml:space="preserve"> &amp; structure</w:t>
      </w:r>
    </w:p>
    <w:tbl>
      <w:tblPr>
        <w:tblStyle w:val="TableGrid"/>
        <w:tblW w:w="0" w:type="auto"/>
        <w:tblLook w:val="04A0"/>
      </w:tblPr>
      <w:tblGrid>
        <w:gridCol w:w="1357"/>
        <w:gridCol w:w="4691"/>
        <w:gridCol w:w="3528"/>
      </w:tblGrid>
      <w:tr w:rsidR="00E54190" w:rsidRPr="004759F3" w:rsidTr="003D008F">
        <w:tc>
          <w:tcPr>
            <w:tcW w:w="1357" w:type="dxa"/>
          </w:tcPr>
          <w:p w:rsidR="00E54190" w:rsidRPr="004759F3" w:rsidRDefault="00E54190" w:rsidP="003D008F">
            <w:r w:rsidRPr="004759F3">
              <w:t>Comments</w:t>
            </w:r>
          </w:p>
        </w:tc>
        <w:tc>
          <w:tcPr>
            <w:tcW w:w="4691" w:type="dxa"/>
          </w:tcPr>
          <w:p w:rsidR="00E54190" w:rsidRPr="004759F3" w:rsidRDefault="00E54190" w:rsidP="003D008F">
            <w:r>
              <w:t>Identified issues</w:t>
            </w:r>
          </w:p>
        </w:tc>
        <w:tc>
          <w:tcPr>
            <w:tcW w:w="3528" w:type="dxa"/>
          </w:tcPr>
          <w:p w:rsidR="00E54190" w:rsidRPr="004759F3" w:rsidRDefault="00E54190" w:rsidP="003D008F">
            <w:r w:rsidRPr="004759F3">
              <w:t>Possible way forward</w:t>
            </w:r>
          </w:p>
        </w:tc>
      </w:tr>
      <w:tr w:rsidR="00E54190" w:rsidRPr="004759F3" w:rsidTr="003D008F">
        <w:tc>
          <w:tcPr>
            <w:tcW w:w="1357" w:type="dxa"/>
          </w:tcPr>
          <w:p w:rsidR="00E54190" w:rsidRPr="00E54190" w:rsidRDefault="00E54190" w:rsidP="00E54190">
            <w:r w:rsidRPr="00E54190">
              <w:t>R214</w:t>
            </w:r>
            <w:r>
              <w:t xml:space="preserve">, </w:t>
            </w:r>
            <w:r w:rsidRPr="00E54190">
              <w:t>R475</w:t>
            </w:r>
            <w:r>
              <w:t xml:space="preserve">, </w:t>
            </w:r>
            <w:r w:rsidRPr="00E54190">
              <w:t>R292</w:t>
            </w:r>
            <w:r>
              <w:t xml:space="preserve">, </w:t>
            </w:r>
            <w:r w:rsidRPr="00E54190">
              <w:t>R334</w:t>
            </w:r>
            <w:r>
              <w:t xml:space="preserve">, </w:t>
            </w:r>
            <w:r w:rsidRPr="00E54190">
              <w:t>R258</w:t>
            </w:r>
            <w:r>
              <w:t xml:space="preserve">, </w:t>
            </w:r>
            <w:r w:rsidRPr="00E54190">
              <w:t>S40</w:t>
            </w:r>
            <w:r>
              <w:t xml:space="preserve">, </w:t>
            </w:r>
            <w:r w:rsidRPr="00E54190">
              <w:t>S27</w:t>
            </w:r>
            <w:r>
              <w:t xml:space="preserve">, </w:t>
            </w:r>
            <w:r w:rsidRPr="00E54190">
              <w:t>S17</w:t>
            </w:r>
            <w:r>
              <w:t xml:space="preserve">, </w:t>
            </w:r>
            <w:r w:rsidRPr="00E54190">
              <w:t>G36</w:t>
            </w:r>
          </w:p>
          <w:p w:rsidR="0092154A" w:rsidRDefault="0092154A" w:rsidP="0092154A">
            <w:pPr>
              <w:tabs>
                <w:tab w:val="left" w:pos="1260"/>
              </w:tabs>
            </w:pPr>
          </w:p>
          <w:p w:rsidR="009D0B7B" w:rsidRPr="0092154A" w:rsidRDefault="0092154A" w:rsidP="009D0B7B">
            <w:pPr>
              <w:tabs>
                <w:tab w:val="left" w:pos="1260"/>
              </w:tabs>
            </w:pPr>
            <w:r w:rsidRPr="0092154A">
              <w:t>R254</w:t>
            </w:r>
            <w:r>
              <w:t xml:space="preserve">, </w:t>
            </w:r>
            <w:r w:rsidRPr="0092154A">
              <w:t>R270</w:t>
            </w:r>
            <w:r>
              <w:t xml:space="preserve">, </w:t>
            </w:r>
            <w:r w:rsidRPr="0092154A">
              <w:t>R190</w:t>
            </w:r>
            <w:r>
              <w:t xml:space="preserve">, </w:t>
            </w:r>
            <w:r w:rsidRPr="0092154A">
              <w:t>R252</w:t>
            </w:r>
            <w:r>
              <w:t xml:space="preserve">, </w:t>
            </w:r>
            <w:r w:rsidRPr="0092154A">
              <w:t>R255</w:t>
            </w:r>
            <w:r>
              <w:t xml:space="preserve">, </w:t>
            </w:r>
            <w:r w:rsidRPr="0092154A">
              <w:t>R257</w:t>
            </w:r>
            <w:r>
              <w:t xml:space="preserve">, </w:t>
            </w:r>
            <w:r w:rsidRPr="0092154A">
              <w:t>R78</w:t>
            </w:r>
            <w:r>
              <w:t>, R77</w:t>
            </w:r>
            <w:r w:rsidR="009D0B7B">
              <w:t>, R256, R263, R251, R267, R89, R228, R396</w:t>
            </w:r>
          </w:p>
          <w:p w:rsidR="0092154A" w:rsidRPr="0092154A" w:rsidRDefault="0092154A" w:rsidP="0092154A">
            <w:pPr>
              <w:tabs>
                <w:tab w:val="left" w:pos="1260"/>
              </w:tabs>
            </w:pPr>
          </w:p>
          <w:p w:rsidR="0092154A" w:rsidRDefault="0092154A" w:rsidP="003D008F">
            <w:r>
              <w:t>R74, R170</w:t>
            </w:r>
            <w:r w:rsidR="009D0B7B">
              <w:t>, R125, R76</w:t>
            </w:r>
          </w:p>
          <w:p w:rsidR="0092154A" w:rsidRDefault="0092154A" w:rsidP="003D008F"/>
          <w:p w:rsidR="0092154A" w:rsidRDefault="0092154A" w:rsidP="003D008F"/>
          <w:p w:rsidR="00B47139" w:rsidRDefault="00B47139" w:rsidP="0092154A"/>
          <w:p w:rsidR="00B47139" w:rsidRPr="00B47139" w:rsidRDefault="00B47139" w:rsidP="00B47139">
            <w:r w:rsidRPr="00B47139">
              <w:t>R315, R176, R41, R163, R177</w:t>
            </w:r>
          </w:p>
          <w:p w:rsidR="00B47139" w:rsidRDefault="00B47139" w:rsidP="0092154A"/>
          <w:p w:rsidR="00B47139" w:rsidRDefault="00B47139" w:rsidP="0092154A"/>
          <w:p w:rsidR="007E0C05" w:rsidRDefault="007E0C05" w:rsidP="0092154A"/>
          <w:p w:rsidR="007E0C05" w:rsidRDefault="007E0C05" w:rsidP="0092154A"/>
          <w:p w:rsidR="007E0C05" w:rsidRDefault="007E0C05" w:rsidP="0092154A"/>
          <w:p w:rsidR="007E0C05" w:rsidRDefault="007E0C05" w:rsidP="0092154A"/>
          <w:p w:rsidR="0092154A" w:rsidRPr="0092154A" w:rsidRDefault="0092154A" w:rsidP="0092154A">
            <w:r>
              <w:t xml:space="preserve">R116, </w:t>
            </w:r>
            <w:r w:rsidRPr="0092154A">
              <w:t>R57, R264, R427</w:t>
            </w:r>
          </w:p>
          <w:p w:rsidR="0092154A" w:rsidRPr="004759F3" w:rsidRDefault="0092154A" w:rsidP="003D008F"/>
        </w:tc>
        <w:tc>
          <w:tcPr>
            <w:tcW w:w="4691" w:type="dxa"/>
          </w:tcPr>
          <w:p w:rsidR="0092154A" w:rsidRDefault="0092154A" w:rsidP="0092154A">
            <w:r>
              <w:t>More clarity is needed</w:t>
            </w:r>
          </w:p>
          <w:p w:rsidR="0092154A" w:rsidRDefault="0092154A" w:rsidP="0092154A"/>
          <w:p w:rsidR="0092154A" w:rsidRDefault="0092154A" w:rsidP="0092154A"/>
          <w:p w:rsidR="0092154A" w:rsidRDefault="0092154A" w:rsidP="0092154A"/>
          <w:p w:rsidR="0092154A" w:rsidRDefault="0092154A" w:rsidP="0092154A"/>
          <w:p w:rsidR="0092154A" w:rsidRDefault="0092154A" w:rsidP="0092154A"/>
          <w:p w:rsidR="0092154A" w:rsidRDefault="0092154A" w:rsidP="0092154A">
            <w:r>
              <w:t>The language of the preface, introduction, rationales and points to consider is difficult to follow</w:t>
            </w:r>
            <w:r w:rsidR="009D0B7B">
              <w:t>. The text lacks practical guidance</w:t>
            </w:r>
          </w:p>
          <w:p w:rsidR="0092154A" w:rsidRDefault="0092154A" w:rsidP="0092154A"/>
          <w:p w:rsidR="0092154A" w:rsidRDefault="0092154A" w:rsidP="0092154A"/>
          <w:p w:rsidR="0092154A" w:rsidRDefault="0092154A" w:rsidP="0092154A"/>
          <w:p w:rsidR="009D0B7B" w:rsidRDefault="009D0B7B" w:rsidP="0092154A"/>
          <w:p w:rsidR="009D0B7B" w:rsidRDefault="009D0B7B" w:rsidP="0092154A"/>
          <w:p w:rsidR="009D0B7B" w:rsidRDefault="009D0B7B" w:rsidP="0092154A"/>
          <w:p w:rsidR="0092154A" w:rsidRDefault="0092154A" w:rsidP="0092154A">
            <w:r>
              <w:t>Flowchart</w:t>
            </w:r>
          </w:p>
          <w:p w:rsidR="0092154A" w:rsidRDefault="0092154A" w:rsidP="0092154A"/>
          <w:p w:rsidR="0092154A" w:rsidRDefault="0092154A" w:rsidP="0092154A"/>
          <w:p w:rsidR="0092154A" w:rsidRDefault="0092154A" w:rsidP="0092154A"/>
          <w:p w:rsidR="00B47139" w:rsidRDefault="00B47139" w:rsidP="00B47139"/>
          <w:p w:rsidR="00B47139" w:rsidRPr="00EE0E19" w:rsidRDefault="00B47139" w:rsidP="00B47139">
            <w:r w:rsidRPr="00EE0E19">
              <w:t>R</w:t>
            </w:r>
            <w:r>
              <w:t xml:space="preserve">isk scenarios </w:t>
            </w:r>
            <w:r w:rsidRPr="00EE0E19">
              <w:rPr>
                <w:i/>
              </w:rPr>
              <w:t xml:space="preserve">versus </w:t>
            </w:r>
            <w:r>
              <w:t xml:space="preserve">risk </w:t>
            </w:r>
            <w:r w:rsidRPr="00EE0E19">
              <w:t>hypothesis</w:t>
            </w:r>
          </w:p>
          <w:p w:rsidR="00B47139" w:rsidRDefault="00B47139" w:rsidP="0092154A"/>
          <w:p w:rsidR="00B47139" w:rsidRDefault="00B47139" w:rsidP="0092154A"/>
          <w:p w:rsidR="00B47139" w:rsidRDefault="00B47139" w:rsidP="0092154A"/>
          <w:p w:rsidR="00B47139" w:rsidRDefault="00B47139" w:rsidP="0092154A"/>
          <w:p w:rsidR="007E0C05" w:rsidRDefault="007E0C05" w:rsidP="0092154A"/>
          <w:p w:rsidR="007E0C05" w:rsidRDefault="007E0C05" w:rsidP="0092154A"/>
          <w:p w:rsidR="007E0C05" w:rsidRDefault="007E0C05" w:rsidP="0092154A"/>
          <w:p w:rsidR="007E0C05" w:rsidRDefault="007E0C05" w:rsidP="0092154A"/>
          <w:p w:rsidR="0092154A" w:rsidRDefault="0092154A" w:rsidP="0092154A">
            <w:r>
              <w:t>Use of terms</w:t>
            </w:r>
          </w:p>
        </w:tc>
        <w:tc>
          <w:tcPr>
            <w:tcW w:w="3528" w:type="dxa"/>
          </w:tcPr>
          <w:p w:rsidR="0092154A" w:rsidRDefault="0092154A" w:rsidP="003D008F">
            <w:r>
              <w:t>Analyze individual comments and attempt to clarify issues that are not properly explained</w:t>
            </w:r>
          </w:p>
          <w:p w:rsidR="0092154A" w:rsidRDefault="0092154A" w:rsidP="003D008F"/>
          <w:p w:rsidR="0092154A" w:rsidRDefault="0092154A" w:rsidP="003D008F"/>
          <w:p w:rsidR="0092154A" w:rsidRDefault="0092154A" w:rsidP="003D008F"/>
          <w:p w:rsidR="00E54190" w:rsidRDefault="0092154A" w:rsidP="003D008F">
            <w:r>
              <w:t>Attempt to revise, shorten sentences and avoid complex language</w:t>
            </w:r>
            <w:r w:rsidR="009D0B7B">
              <w:t>, add more practical explanation on “how to”</w:t>
            </w:r>
          </w:p>
          <w:p w:rsidR="0092154A" w:rsidRDefault="0092154A" w:rsidP="003D008F"/>
          <w:p w:rsidR="0092154A" w:rsidRDefault="0092154A" w:rsidP="003D008F"/>
          <w:p w:rsidR="009D0B7B" w:rsidRDefault="009D0B7B" w:rsidP="003D008F"/>
          <w:p w:rsidR="009D0B7B" w:rsidRDefault="009D0B7B" w:rsidP="003D008F"/>
          <w:p w:rsidR="009D0B7B" w:rsidRDefault="009D0B7B" w:rsidP="003D008F"/>
          <w:p w:rsidR="0092154A" w:rsidRDefault="0092154A" w:rsidP="003D008F">
            <w:r>
              <w:t>Consider ways to reconcile the two comments (ones asks for simplification, another asks for more detail)</w:t>
            </w:r>
          </w:p>
          <w:p w:rsidR="0092154A" w:rsidRDefault="0092154A" w:rsidP="003D008F"/>
          <w:p w:rsidR="00B47139" w:rsidRDefault="007E0C05" w:rsidP="003D008F">
            <w:r>
              <w:t>At the AHTEG meeting it was agreed that “scenario” and</w:t>
            </w:r>
            <w:r w:rsidR="00B47139">
              <w:t xml:space="preserve"> “hypothesis”</w:t>
            </w:r>
            <w:r>
              <w:t xml:space="preserve"> refer to two different concepts</w:t>
            </w:r>
            <w:r w:rsidR="00B47139">
              <w:t xml:space="preserve">. </w:t>
            </w:r>
            <w:r>
              <w:t xml:space="preserve">So, no changes needed to the way these terms are being used throughout the Guidance. </w:t>
            </w:r>
            <w:r w:rsidR="00B47139" w:rsidRPr="00B47139">
              <w:t xml:space="preserve">Consider adding “scenario” to the use of terms section, see definition in </w:t>
            </w:r>
            <w:proofErr w:type="spellStart"/>
            <w:r w:rsidR="00B47139" w:rsidRPr="00B47139">
              <w:t>Suter</w:t>
            </w:r>
            <w:proofErr w:type="spellEnd"/>
            <w:r w:rsidR="00B47139" w:rsidRPr="00B47139">
              <w:t xml:space="preserve"> II</w:t>
            </w:r>
          </w:p>
          <w:p w:rsidR="00B47139" w:rsidRDefault="00B47139" w:rsidP="003D008F"/>
          <w:p w:rsidR="0092154A" w:rsidRPr="004759F3" w:rsidRDefault="0092154A" w:rsidP="003D008F">
            <w:r>
              <w:t>Consider if the specific terms noted in the comments need to be added to the “Use of terms” section</w:t>
            </w:r>
          </w:p>
        </w:tc>
      </w:tr>
    </w:tbl>
    <w:p w:rsidR="00B47139" w:rsidRDefault="00B47139">
      <w:pPr>
        <w:rPr>
          <w:sz w:val="28"/>
          <w:szCs w:val="28"/>
        </w:rPr>
      </w:pPr>
    </w:p>
    <w:sectPr w:rsidR="00B47139" w:rsidSect="00EC55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CC" w:rsidRDefault="00895DCC" w:rsidP="004C20BC">
      <w:pPr>
        <w:spacing w:after="0" w:line="240" w:lineRule="auto"/>
      </w:pPr>
      <w:r>
        <w:separator/>
      </w:r>
    </w:p>
  </w:endnote>
  <w:endnote w:type="continuationSeparator" w:id="0">
    <w:p w:rsidR="00895DCC" w:rsidRDefault="00895DCC" w:rsidP="004C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CC" w:rsidRDefault="00895DCC" w:rsidP="004C20BC">
      <w:pPr>
        <w:spacing w:after="0" w:line="240" w:lineRule="auto"/>
      </w:pPr>
      <w:r>
        <w:separator/>
      </w:r>
    </w:p>
  </w:footnote>
  <w:footnote w:type="continuationSeparator" w:id="0">
    <w:p w:rsidR="00895DCC" w:rsidRDefault="00895DCC" w:rsidP="004C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C" w:rsidRPr="009D0B7B" w:rsidRDefault="009D0B7B" w:rsidP="009D0B7B">
    <w:pPr>
      <w:jc w:val="center"/>
      <w:rPr>
        <w:sz w:val="28"/>
        <w:szCs w:val="28"/>
      </w:rPr>
    </w:pPr>
    <w:r>
      <w:rPr>
        <w:b/>
      </w:rPr>
      <w:t>OVERVIEW</w:t>
    </w:r>
    <w:r w:rsidRPr="004C20BC">
      <w:rPr>
        <w:b/>
      </w:rPr>
      <w:t xml:space="preserve"> OF COMMENTS </w:t>
    </w:r>
    <w:r>
      <w:rPr>
        <w:b/>
      </w:rPr>
      <w:t>THAT REMAIN TO BE DISCUSSED AND ADDRESSED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0BC"/>
    <w:rsid w:val="00130C7C"/>
    <w:rsid w:val="001747C2"/>
    <w:rsid w:val="00194EDA"/>
    <w:rsid w:val="002C1E9E"/>
    <w:rsid w:val="004759F3"/>
    <w:rsid w:val="004C20BC"/>
    <w:rsid w:val="006954DE"/>
    <w:rsid w:val="006E6BB0"/>
    <w:rsid w:val="007E0C05"/>
    <w:rsid w:val="00801AE8"/>
    <w:rsid w:val="00895DCC"/>
    <w:rsid w:val="008A7D02"/>
    <w:rsid w:val="0092154A"/>
    <w:rsid w:val="009D0B7B"/>
    <w:rsid w:val="00A015E3"/>
    <w:rsid w:val="00B47139"/>
    <w:rsid w:val="00C05DAE"/>
    <w:rsid w:val="00C1730E"/>
    <w:rsid w:val="00C7778D"/>
    <w:rsid w:val="00CC65AB"/>
    <w:rsid w:val="00D85ACC"/>
    <w:rsid w:val="00E54190"/>
    <w:rsid w:val="00EC5513"/>
    <w:rsid w:val="00E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0BC"/>
  </w:style>
  <w:style w:type="paragraph" w:styleId="Footer">
    <w:name w:val="footer"/>
    <w:basedOn w:val="Normal"/>
    <w:link w:val="FooterChar"/>
    <w:uiPriority w:val="99"/>
    <w:semiHidden/>
    <w:unhideWhenUsed/>
    <w:rsid w:val="004C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0BC"/>
  </w:style>
  <w:style w:type="paragraph" w:styleId="BalloonText">
    <w:name w:val="Balloon Text"/>
    <w:basedOn w:val="Normal"/>
    <w:link w:val="BalloonTextChar"/>
    <w:uiPriority w:val="99"/>
    <w:semiHidden/>
    <w:unhideWhenUsed/>
    <w:rsid w:val="00C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 Pessoa de Miranda</dc:creator>
  <cp:lastModifiedBy>Manoela Miranda</cp:lastModifiedBy>
  <cp:revision>2</cp:revision>
  <cp:lastPrinted>2015-11-12T22:20:00Z</cp:lastPrinted>
  <dcterms:created xsi:type="dcterms:W3CDTF">2016-02-01T18:09:00Z</dcterms:created>
  <dcterms:modified xsi:type="dcterms:W3CDTF">2016-02-01T18:09:00Z</dcterms:modified>
</cp:coreProperties>
</file>